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DFF" w:rsidRPr="00445507" w:rsidRDefault="00D11DFF" w:rsidP="00D11DFF">
      <w:pPr>
        <w:pStyle w:val="Heading2"/>
        <w:contextualSpacing/>
        <w:rPr>
          <w:rFonts w:asciiTheme="minorHAnsi" w:hAnsiTheme="minorHAnsi" w:cs="Arial"/>
          <w:b/>
          <w:sz w:val="24"/>
        </w:rPr>
      </w:pPr>
      <w:r>
        <w:rPr>
          <w:rFonts w:asciiTheme="minorHAnsi" w:hAnsiTheme="minorHAnsi" w:cs="Arial"/>
          <w:b/>
          <w:sz w:val="24"/>
        </w:rPr>
        <w:t>PSY364: Industrial</w:t>
      </w:r>
      <w:r w:rsidRPr="00445507">
        <w:rPr>
          <w:rFonts w:asciiTheme="minorHAnsi" w:hAnsiTheme="minorHAnsi" w:cs="Arial"/>
          <w:b/>
          <w:sz w:val="24"/>
        </w:rPr>
        <w:t xml:space="preserve"> Psychology</w:t>
      </w:r>
    </w:p>
    <w:p w:rsidR="00D11DFF" w:rsidRDefault="00D11DFF" w:rsidP="00D11DFF">
      <w:pPr>
        <w:spacing w:line="240" w:lineRule="auto"/>
        <w:contextualSpacing/>
        <w:jc w:val="center"/>
        <w:rPr>
          <w:rFonts w:cs="Arial"/>
          <w:b/>
        </w:rPr>
      </w:pPr>
      <w:r w:rsidRPr="00445507">
        <w:rPr>
          <w:rFonts w:cs="Arial"/>
          <w:b/>
        </w:rPr>
        <w:t>Dr. Jason Dahling</w:t>
      </w:r>
    </w:p>
    <w:p w:rsidR="00EC1B0B" w:rsidRDefault="0079194A" w:rsidP="00D11DFF">
      <w:pPr>
        <w:spacing w:line="240" w:lineRule="auto"/>
        <w:contextualSpacing/>
        <w:jc w:val="center"/>
        <w:rPr>
          <w:rFonts w:cs="Arial"/>
          <w:b/>
        </w:rPr>
      </w:pPr>
      <w:r>
        <w:rPr>
          <w:rFonts w:cs="Arial"/>
          <w:b/>
        </w:rPr>
        <w:t>Wednesdays, 9:00-11:50am (SSB 103)</w:t>
      </w:r>
    </w:p>
    <w:p w:rsidR="00D11DFF" w:rsidRPr="00445507" w:rsidRDefault="00D11DFF" w:rsidP="00D11DFF">
      <w:pPr>
        <w:spacing w:line="240" w:lineRule="auto"/>
        <w:contextualSpacing/>
        <w:jc w:val="center"/>
        <w:rPr>
          <w:rFonts w:cs="Arial"/>
          <w:b/>
        </w:rPr>
      </w:pPr>
    </w:p>
    <w:p w:rsidR="00D11DFF" w:rsidRPr="0009754C" w:rsidRDefault="00D11DFF" w:rsidP="00D11DFF">
      <w:pPr>
        <w:spacing w:line="240" w:lineRule="auto"/>
        <w:contextualSpacing/>
        <w:rPr>
          <w:rFonts w:cs="Arial"/>
        </w:rPr>
      </w:pPr>
      <w:r w:rsidRPr="0009754C">
        <w:rPr>
          <w:rFonts w:cs="Arial"/>
          <w:i/>
        </w:rPr>
        <w:t>Phone:</w:t>
      </w:r>
      <w:r w:rsidR="007F15B3">
        <w:rPr>
          <w:rFonts w:cs="Arial"/>
        </w:rPr>
        <w:t xml:space="preserve"> (609) 771-</w:t>
      </w:r>
      <w:r w:rsidRPr="0009754C">
        <w:rPr>
          <w:rFonts w:cs="Arial"/>
        </w:rPr>
        <w:t xml:space="preserve">2582 </w:t>
      </w:r>
      <w:r w:rsidRPr="0009754C">
        <w:rPr>
          <w:rFonts w:cs="Arial"/>
        </w:rPr>
        <w:tab/>
      </w:r>
      <w:r>
        <w:rPr>
          <w:rFonts w:cs="Arial"/>
        </w:rPr>
        <w:tab/>
      </w:r>
      <w:r>
        <w:rPr>
          <w:rFonts w:cs="Arial"/>
        </w:rPr>
        <w:tab/>
      </w:r>
      <w:r>
        <w:rPr>
          <w:rFonts w:cs="Arial"/>
        </w:rPr>
        <w:tab/>
      </w:r>
      <w:r>
        <w:rPr>
          <w:rFonts w:cs="Arial"/>
        </w:rPr>
        <w:tab/>
      </w:r>
      <w:r>
        <w:rPr>
          <w:rFonts w:cs="Arial"/>
        </w:rPr>
        <w:tab/>
      </w:r>
      <w:r>
        <w:rPr>
          <w:rFonts w:cs="Arial"/>
        </w:rPr>
        <w:tab/>
      </w:r>
      <w:r w:rsidRPr="0009754C">
        <w:rPr>
          <w:rFonts w:cs="Arial"/>
          <w:i/>
        </w:rPr>
        <w:t>Office:</w:t>
      </w:r>
      <w:r w:rsidRPr="0009754C">
        <w:rPr>
          <w:rFonts w:cs="Arial"/>
        </w:rPr>
        <w:t xml:space="preserve"> Social Sciences 121</w:t>
      </w:r>
    </w:p>
    <w:p w:rsidR="00D11DFF" w:rsidRDefault="00D11DFF" w:rsidP="00D11DFF">
      <w:pPr>
        <w:spacing w:line="240" w:lineRule="auto"/>
        <w:ind w:left="5040" w:hanging="5040"/>
        <w:contextualSpacing/>
        <w:rPr>
          <w:rFonts w:cs="Arial"/>
        </w:rPr>
      </w:pPr>
      <w:r w:rsidRPr="0009754C">
        <w:rPr>
          <w:rFonts w:cs="Arial"/>
          <w:i/>
        </w:rPr>
        <w:t>Email:</w:t>
      </w:r>
      <w:r w:rsidRPr="0009754C">
        <w:rPr>
          <w:rFonts w:cs="Arial"/>
        </w:rPr>
        <w:t xml:space="preserve">  dahling@tcnj.edu</w:t>
      </w:r>
      <w:r>
        <w:rPr>
          <w:rFonts w:cs="Arial"/>
        </w:rPr>
        <w:tab/>
      </w:r>
      <w:r>
        <w:rPr>
          <w:rFonts w:cs="Arial"/>
        </w:rPr>
        <w:tab/>
      </w:r>
      <w:r w:rsidRPr="0009754C">
        <w:rPr>
          <w:rFonts w:cs="Arial"/>
          <w:i/>
        </w:rPr>
        <w:t xml:space="preserve">Office Hours: </w:t>
      </w:r>
      <w:r w:rsidR="00DF076D">
        <w:rPr>
          <w:rFonts w:cs="Arial"/>
        </w:rPr>
        <w:t>Tuesdays 1:00-3</w:t>
      </w:r>
      <w:r w:rsidR="007F15B3">
        <w:rPr>
          <w:rFonts w:cs="Arial"/>
        </w:rPr>
        <w:t>:00pm</w:t>
      </w:r>
      <w:r w:rsidRPr="0009754C">
        <w:rPr>
          <w:rFonts w:cs="Arial"/>
        </w:rPr>
        <w:t xml:space="preserve"> </w:t>
      </w:r>
    </w:p>
    <w:p w:rsidR="00D11DFF" w:rsidRPr="00D11DFF" w:rsidRDefault="00D11DFF" w:rsidP="0080010A">
      <w:pPr>
        <w:spacing w:line="240" w:lineRule="auto"/>
        <w:ind w:left="5040" w:hanging="5040"/>
        <w:contextualSpacing/>
        <w:rPr>
          <w:rFonts w:cs="Arial"/>
          <w:sz w:val="20"/>
        </w:rPr>
      </w:pPr>
      <w:r>
        <w:rPr>
          <w:rFonts w:cs="Arial"/>
          <w:i/>
        </w:rPr>
        <w:tab/>
      </w:r>
    </w:p>
    <w:p w:rsidR="007F15B3" w:rsidRDefault="007F15B3" w:rsidP="0080010A">
      <w:pPr>
        <w:spacing w:line="240" w:lineRule="auto"/>
        <w:contextualSpacing/>
        <w:rPr>
          <w:rFonts w:cs="Arial"/>
          <w:b/>
        </w:rPr>
      </w:pPr>
      <w:r>
        <w:rPr>
          <w:rFonts w:cs="Arial"/>
          <w:b/>
        </w:rPr>
        <w:t>Course Catalog Description:</w:t>
      </w:r>
    </w:p>
    <w:p w:rsidR="007F15B3" w:rsidRPr="007F15B3" w:rsidRDefault="007F15B3" w:rsidP="0080010A">
      <w:pPr>
        <w:spacing w:line="240" w:lineRule="auto"/>
        <w:contextualSpacing/>
        <w:rPr>
          <w:rFonts w:cs="Arial"/>
        </w:rPr>
      </w:pPr>
      <w:r>
        <w:rPr>
          <w:rFonts w:cs="Arial"/>
        </w:rPr>
        <w:t xml:space="preserve">(Prerequisite: PSY101). </w:t>
      </w:r>
      <w:proofErr w:type="gramStart"/>
      <w:r>
        <w:rPr>
          <w:rFonts w:cs="Arial"/>
        </w:rPr>
        <w:t>Introduces students to the content areas of industrial psychology and the application of psychological theory to organizational issues.</w:t>
      </w:r>
      <w:proofErr w:type="gramEnd"/>
      <w:r>
        <w:rPr>
          <w:rFonts w:cs="Arial"/>
        </w:rPr>
        <w:t xml:space="preserve"> Topics include employment law, job analysis, recruitment and selection, training, performance appraisal and discipline, employee motivation, and workplace safety. Using an applied approach, this course will help prepare students for their roles as employees and managers. (1 unit)</w:t>
      </w:r>
    </w:p>
    <w:p w:rsidR="007F15B3" w:rsidRDefault="007F15B3" w:rsidP="0080010A">
      <w:pPr>
        <w:spacing w:line="240" w:lineRule="auto"/>
        <w:contextualSpacing/>
        <w:rPr>
          <w:rFonts w:cs="Arial"/>
          <w:b/>
        </w:rPr>
      </w:pPr>
    </w:p>
    <w:p w:rsidR="00D11DFF" w:rsidRPr="00445507" w:rsidRDefault="007F15B3" w:rsidP="0080010A">
      <w:pPr>
        <w:spacing w:line="240" w:lineRule="auto"/>
        <w:contextualSpacing/>
        <w:rPr>
          <w:rFonts w:cs="Arial"/>
        </w:rPr>
      </w:pPr>
      <w:r>
        <w:rPr>
          <w:rFonts w:cs="Arial"/>
          <w:b/>
        </w:rPr>
        <w:t>Course Materials</w:t>
      </w:r>
      <w:r w:rsidR="00D11DFF" w:rsidRPr="00445507">
        <w:rPr>
          <w:rFonts w:cs="Arial"/>
          <w:b/>
        </w:rPr>
        <w:t>:</w:t>
      </w:r>
    </w:p>
    <w:p w:rsidR="0080010A" w:rsidRPr="00445507" w:rsidRDefault="0080010A" w:rsidP="0080010A">
      <w:pPr>
        <w:spacing w:line="240" w:lineRule="auto"/>
        <w:contextualSpacing/>
      </w:pPr>
      <w:r>
        <w:rPr>
          <w:rFonts w:cs="Arial"/>
        </w:rPr>
        <w:t xml:space="preserve">There is no required textbook for this course.  All </w:t>
      </w:r>
      <w:r w:rsidRPr="00445507">
        <w:t>required readings are posted on SOCS for download.</w:t>
      </w:r>
      <w:r>
        <w:t xml:space="preserve"> It is your responsibility to read and </w:t>
      </w:r>
      <w:r w:rsidRPr="00E10442">
        <w:rPr>
          <w:u w:val="single"/>
        </w:rPr>
        <w:t>bring these readings to class</w:t>
      </w:r>
      <w:r>
        <w:t xml:space="preserve"> on the days that we cover them.</w:t>
      </w:r>
      <w:r w:rsidR="00B23ED7">
        <w:t xml:space="preserve"> </w:t>
      </w:r>
    </w:p>
    <w:p w:rsidR="0080010A" w:rsidRDefault="0080010A" w:rsidP="0080010A">
      <w:pPr>
        <w:spacing w:line="240" w:lineRule="auto"/>
        <w:contextualSpacing/>
        <w:rPr>
          <w:rFonts w:cs="Arial"/>
          <w:b/>
        </w:rPr>
      </w:pPr>
    </w:p>
    <w:p w:rsidR="00D11DFF" w:rsidRPr="00445507" w:rsidRDefault="00D11DFF" w:rsidP="0080010A">
      <w:pPr>
        <w:spacing w:line="240" w:lineRule="auto"/>
        <w:contextualSpacing/>
        <w:rPr>
          <w:rFonts w:cs="Arial"/>
          <w:b/>
        </w:rPr>
      </w:pPr>
      <w:r w:rsidRPr="00445507">
        <w:rPr>
          <w:rFonts w:cs="Arial"/>
          <w:b/>
        </w:rPr>
        <w:t>Course Purpose:</w:t>
      </w:r>
    </w:p>
    <w:p w:rsidR="00D11DFF" w:rsidRPr="00445507" w:rsidRDefault="00152522" w:rsidP="0080010A">
      <w:pPr>
        <w:spacing w:line="240" w:lineRule="auto"/>
        <w:contextualSpacing/>
        <w:rPr>
          <w:rFonts w:cs="Arial"/>
        </w:rPr>
      </w:pPr>
      <w:r>
        <w:rPr>
          <w:rFonts w:cs="Arial"/>
        </w:rPr>
        <w:t xml:space="preserve">Industrial Psychology concerns the application of psychology to solve problems in human resource management. As psychologists, our understanding of individual differences, research design, and statistics allows us to create and improve HR systems to more effectively measure, </w:t>
      </w:r>
      <w:r w:rsidR="00CC5E4C">
        <w:rPr>
          <w:rFonts w:cs="Arial"/>
        </w:rPr>
        <w:t xml:space="preserve">predict, </w:t>
      </w:r>
      <w:r>
        <w:rPr>
          <w:rFonts w:cs="Arial"/>
        </w:rPr>
        <w:t xml:space="preserve">and </w:t>
      </w:r>
      <w:r w:rsidR="00371403">
        <w:rPr>
          <w:rFonts w:cs="Arial"/>
        </w:rPr>
        <w:t>enhance</w:t>
      </w:r>
      <w:r>
        <w:rPr>
          <w:rFonts w:cs="Arial"/>
        </w:rPr>
        <w:t xml:space="preserve"> desired workplace behaviors. In this course, you will learn how your competencies as a psychologist can be used to </w:t>
      </w:r>
      <w:r w:rsidR="00371403">
        <w:rPr>
          <w:rFonts w:cs="Arial"/>
        </w:rPr>
        <w:t>guide</w:t>
      </w:r>
      <w:r>
        <w:rPr>
          <w:rFonts w:cs="Arial"/>
        </w:rPr>
        <w:t xml:space="preserve"> these business practices. You will also gain insight into</w:t>
      </w:r>
      <w:r w:rsidR="009D142C">
        <w:rPr>
          <w:rFonts w:cs="Arial"/>
        </w:rPr>
        <w:t xml:space="preserve"> how to further your own career</w:t>
      </w:r>
      <w:r>
        <w:rPr>
          <w:rFonts w:cs="Arial"/>
        </w:rPr>
        <w:t xml:space="preserve"> by learning more about how organizations recruit, select, train, and manage employees. (</w:t>
      </w:r>
      <w:r w:rsidR="00D11DFF" w:rsidRPr="00152522">
        <w:rPr>
          <w:rFonts w:cs="Arial"/>
          <w:i/>
        </w:rPr>
        <w:t>This course is required</w:t>
      </w:r>
      <w:r>
        <w:rPr>
          <w:rFonts w:cs="Arial"/>
          <w:i/>
        </w:rPr>
        <w:t xml:space="preserve"> for </w:t>
      </w:r>
      <w:r w:rsidR="00CC5E4C">
        <w:rPr>
          <w:rFonts w:cs="Arial"/>
          <w:i/>
        </w:rPr>
        <w:t>those Psychology majors</w:t>
      </w:r>
      <w:r>
        <w:rPr>
          <w:rFonts w:cs="Arial"/>
          <w:i/>
        </w:rPr>
        <w:t xml:space="preserve"> who have declared</w:t>
      </w:r>
      <w:r w:rsidR="00D11DFF" w:rsidRPr="00152522">
        <w:rPr>
          <w:rFonts w:cs="Arial"/>
          <w:i/>
        </w:rPr>
        <w:t xml:space="preserve"> the </w:t>
      </w:r>
      <w:r>
        <w:rPr>
          <w:rFonts w:cs="Arial"/>
          <w:i/>
        </w:rPr>
        <w:t xml:space="preserve">optional </w:t>
      </w:r>
      <w:r w:rsidR="00D11DFF" w:rsidRPr="00152522">
        <w:rPr>
          <w:rFonts w:cs="Arial"/>
          <w:i/>
        </w:rPr>
        <w:t>specialization</w:t>
      </w:r>
      <w:r w:rsidR="00CC5E4C">
        <w:rPr>
          <w:rFonts w:cs="Arial"/>
          <w:i/>
        </w:rPr>
        <w:t xml:space="preserve"> in Industrial/ Organizational Psychology</w:t>
      </w:r>
      <w:r w:rsidR="00D11DFF">
        <w:rPr>
          <w:rFonts w:cs="Arial"/>
        </w:rPr>
        <w:t>.</w:t>
      </w:r>
      <w:r>
        <w:rPr>
          <w:rFonts w:cs="Arial"/>
        </w:rPr>
        <w:t>)</w:t>
      </w:r>
    </w:p>
    <w:p w:rsidR="00D11DFF" w:rsidRPr="00445507" w:rsidRDefault="00D11DFF" w:rsidP="00D11DFF">
      <w:pPr>
        <w:spacing w:line="240" w:lineRule="auto"/>
        <w:contextualSpacing/>
        <w:rPr>
          <w:rFonts w:cs="Arial"/>
        </w:rPr>
      </w:pPr>
    </w:p>
    <w:p w:rsidR="00D11DFF" w:rsidRPr="00445507" w:rsidRDefault="00D11DFF" w:rsidP="00D11DFF">
      <w:pPr>
        <w:spacing w:line="240" w:lineRule="auto"/>
        <w:contextualSpacing/>
        <w:rPr>
          <w:rFonts w:cs="Arial"/>
          <w:b/>
        </w:rPr>
      </w:pPr>
      <w:r w:rsidRPr="00445507">
        <w:rPr>
          <w:rFonts w:cs="Arial"/>
          <w:b/>
        </w:rPr>
        <w:t>Learning Objectives:</w:t>
      </w:r>
    </w:p>
    <w:p w:rsidR="00D11DFF" w:rsidRPr="00445507" w:rsidRDefault="009D142C" w:rsidP="00D11DFF">
      <w:pPr>
        <w:pStyle w:val="PlainText"/>
        <w:numPr>
          <w:ilvl w:val="0"/>
          <w:numId w:val="2"/>
        </w:numPr>
        <w:contextualSpacing/>
        <w:rPr>
          <w:rFonts w:asciiTheme="minorHAnsi" w:hAnsiTheme="minorHAnsi" w:cs="Arial"/>
          <w:sz w:val="22"/>
          <w:szCs w:val="22"/>
        </w:rPr>
      </w:pPr>
      <w:r>
        <w:rPr>
          <w:rFonts w:asciiTheme="minorHAnsi" w:hAnsiTheme="minorHAnsi" w:cs="Arial"/>
          <w:sz w:val="22"/>
          <w:szCs w:val="22"/>
        </w:rPr>
        <w:t>Become conversant about the major content areas of Industrial Psychology (i.e., job analysis, recruitment, selection, employment law, training, performance management, and h</w:t>
      </w:r>
      <w:r w:rsidR="00371403">
        <w:rPr>
          <w:rFonts w:asciiTheme="minorHAnsi" w:hAnsiTheme="minorHAnsi" w:cs="Arial"/>
          <w:sz w:val="22"/>
          <w:szCs w:val="22"/>
        </w:rPr>
        <w:t>ealth/</w:t>
      </w:r>
      <w:r>
        <w:rPr>
          <w:rFonts w:asciiTheme="minorHAnsi" w:hAnsiTheme="minorHAnsi" w:cs="Arial"/>
          <w:sz w:val="22"/>
          <w:szCs w:val="22"/>
        </w:rPr>
        <w:t>well-being issues in the workplace).</w:t>
      </w:r>
    </w:p>
    <w:p w:rsidR="00D11DFF" w:rsidRPr="00445507" w:rsidRDefault="00D11DFF" w:rsidP="00D11DFF">
      <w:pPr>
        <w:pStyle w:val="PlainText"/>
        <w:numPr>
          <w:ilvl w:val="0"/>
          <w:numId w:val="2"/>
        </w:numPr>
        <w:contextualSpacing/>
        <w:rPr>
          <w:rFonts w:asciiTheme="minorHAnsi" w:hAnsiTheme="minorHAnsi" w:cs="Arial"/>
          <w:sz w:val="22"/>
          <w:szCs w:val="22"/>
        </w:rPr>
      </w:pPr>
      <w:r w:rsidRPr="00445507">
        <w:rPr>
          <w:rFonts w:asciiTheme="minorHAnsi" w:hAnsiTheme="minorHAnsi" w:cs="Arial"/>
          <w:sz w:val="22"/>
          <w:szCs w:val="22"/>
        </w:rPr>
        <w:t xml:space="preserve">Gain </w:t>
      </w:r>
      <w:r w:rsidR="009D142C">
        <w:rPr>
          <w:rFonts w:asciiTheme="minorHAnsi" w:hAnsiTheme="minorHAnsi" w:cs="Arial"/>
          <w:sz w:val="22"/>
          <w:szCs w:val="22"/>
        </w:rPr>
        <w:t xml:space="preserve">further comfort with </w:t>
      </w:r>
      <w:r w:rsidR="00AF4023">
        <w:rPr>
          <w:rFonts w:asciiTheme="minorHAnsi" w:hAnsiTheme="minorHAnsi" w:cs="Arial"/>
          <w:sz w:val="22"/>
          <w:szCs w:val="22"/>
        </w:rPr>
        <w:t>statistical concepts in the context of making</w:t>
      </w:r>
      <w:r w:rsidR="009D142C">
        <w:rPr>
          <w:rFonts w:asciiTheme="minorHAnsi" w:hAnsiTheme="minorHAnsi" w:cs="Arial"/>
          <w:sz w:val="22"/>
          <w:szCs w:val="22"/>
        </w:rPr>
        <w:t xml:space="preserve"> personnel decisions to reinforce content learned in PSY203 or an equivalent introductory statistics course.</w:t>
      </w:r>
    </w:p>
    <w:p w:rsidR="00D11DFF" w:rsidRPr="00445507" w:rsidRDefault="009D142C" w:rsidP="00D11DFF">
      <w:pPr>
        <w:pStyle w:val="PlainText"/>
        <w:numPr>
          <w:ilvl w:val="0"/>
          <w:numId w:val="2"/>
        </w:numPr>
        <w:contextualSpacing/>
        <w:rPr>
          <w:rFonts w:asciiTheme="minorHAnsi" w:hAnsiTheme="minorHAnsi" w:cs="Arial"/>
          <w:sz w:val="22"/>
          <w:szCs w:val="22"/>
        </w:rPr>
      </w:pPr>
      <w:r>
        <w:rPr>
          <w:rFonts w:asciiTheme="minorHAnsi" w:hAnsiTheme="minorHAnsi" w:cs="Arial"/>
          <w:sz w:val="22"/>
          <w:szCs w:val="22"/>
        </w:rPr>
        <w:t>Gain practical experience by completing a series of hands-on projects involving job analysis, selection decisions, train</w:t>
      </w:r>
      <w:r w:rsidR="00AF4023">
        <w:rPr>
          <w:rFonts w:asciiTheme="minorHAnsi" w:hAnsiTheme="minorHAnsi" w:cs="Arial"/>
          <w:sz w:val="22"/>
          <w:szCs w:val="22"/>
        </w:rPr>
        <w:t>ing programs, and employee well-being</w:t>
      </w:r>
      <w:r>
        <w:rPr>
          <w:rFonts w:asciiTheme="minorHAnsi" w:hAnsiTheme="minorHAnsi" w:cs="Arial"/>
          <w:sz w:val="22"/>
          <w:szCs w:val="22"/>
        </w:rPr>
        <w:t>.</w:t>
      </w:r>
    </w:p>
    <w:p w:rsidR="00D11DFF" w:rsidRPr="00445507" w:rsidRDefault="009D142C" w:rsidP="00D11DFF">
      <w:pPr>
        <w:pStyle w:val="PlainText"/>
        <w:numPr>
          <w:ilvl w:val="0"/>
          <w:numId w:val="2"/>
        </w:numPr>
        <w:contextualSpacing/>
        <w:rPr>
          <w:rFonts w:asciiTheme="minorHAnsi" w:hAnsiTheme="minorHAnsi" w:cs="Arial"/>
          <w:sz w:val="22"/>
          <w:szCs w:val="22"/>
        </w:rPr>
      </w:pPr>
      <w:r>
        <w:rPr>
          <w:rFonts w:asciiTheme="minorHAnsi" w:hAnsiTheme="minorHAnsi" w:cs="Arial"/>
          <w:sz w:val="22"/>
          <w:szCs w:val="22"/>
        </w:rPr>
        <w:t xml:space="preserve">Deepen your understanding of tests and measurements so that you can collect accurate information and make sound </w:t>
      </w:r>
      <w:r w:rsidR="00AF4023">
        <w:rPr>
          <w:rFonts w:asciiTheme="minorHAnsi" w:hAnsiTheme="minorHAnsi" w:cs="Arial"/>
          <w:sz w:val="22"/>
          <w:szCs w:val="22"/>
        </w:rPr>
        <w:t>data-based decisions.</w:t>
      </w:r>
    </w:p>
    <w:p w:rsidR="00D11DFF" w:rsidRPr="00445507" w:rsidRDefault="00D11DFF" w:rsidP="00D11DFF">
      <w:pPr>
        <w:pStyle w:val="PlainText"/>
        <w:numPr>
          <w:ilvl w:val="0"/>
          <w:numId w:val="2"/>
        </w:numPr>
        <w:contextualSpacing/>
        <w:rPr>
          <w:rFonts w:asciiTheme="minorHAnsi" w:hAnsiTheme="minorHAnsi" w:cs="Arial"/>
          <w:sz w:val="22"/>
          <w:szCs w:val="22"/>
        </w:rPr>
      </w:pPr>
      <w:r w:rsidRPr="00445507">
        <w:rPr>
          <w:rFonts w:asciiTheme="minorHAnsi" w:hAnsiTheme="minorHAnsi" w:cs="Arial"/>
          <w:sz w:val="22"/>
          <w:szCs w:val="22"/>
        </w:rPr>
        <w:t xml:space="preserve">Prepare for </w:t>
      </w:r>
      <w:r w:rsidR="009D142C">
        <w:rPr>
          <w:rFonts w:asciiTheme="minorHAnsi" w:hAnsiTheme="minorHAnsi" w:cs="Arial"/>
          <w:sz w:val="22"/>
          <w:szCs w:val="22"/>
        </w:rPr>
        <w:t xml:space="preserve">other focused seminar </w:t>
      </w:r>
      <w:r w:rsidRPr="00445507">
        <w:rPr>
          <w:rFonts w:asciiTheme="minorHAnsi" w:hAnsiTheme="minorHAnsi" w:cs="Arial"/>
          <w:sz w:val="22"/>
          <w:szCs w:val="22"/>
        </w:rPr>
        <w:t>courses in Industrial/Organizational Psychology or Human Resource Management</w:t>
      </w:r>
      <w:r w:rsidR="00AF4023">
        <w:rPr>
          <w:rFonts w:asciiTheme="minorHAnsi" w:hAnsiTheme="minorHAnsi" w:cs="Arial"/>
          <w:sz w:val="22"/>
          <w:szCs w:val="22"/>
        </w:rPr>
        <w:t>.</w:t>
      </w:r>
      <w:r w:rsidRPr="00445507">
        <w:rPr>
          <w:rFonts w:asciiTheme="minorHAnsi" w:hAnsiTheme="minorHAnsi" w:cs="Arial"/>
          <w:sz w:val="22"/>
          <w:szCs w:val="22"/>
        </w:rPr>
        <w:t xml:space="preserve"> </w:t>
      </w:r>
    </w:p>
    <w:p w:rsidR="00D11DFF" w:rsidRPr="00445507" w:rsidRDefault="00D11DFF" w:rsidP="00D11DFF">
      <w:pPr>
        <w:spacing w:line="240" w:lineRule="auto"/>
        <w:contextualSpacing/>
        <w:rPr>
          <w:rFonts w:cs="Arial"/>
          <w:sz w:val="20"/>
        </w:rPr>
      </w:pPr>
    </w:p>
    <w:p w:rsidR="00D11DFF" w:rsidRPr="00496139" w:rsidRDefault="00D11DFF" w:rsidP="00D11DFF">
      <w:pPr>
        <w:spacing w:line="240" w:lineRule="auto"/>
        <w:contextualSpacing/>
        <w:rPr>
          <w:rFonts w:cs="Arial"/>
          <w:b/>
        </w:rPr>
      </w:pPr>
      <w:r w:rsidRPr="00496139">
        <w:rPr>
          <w:rFonts w:cs="Arial"/>
          <w:b/>
        </w:rPr>
        <w:t xml:space="preserve">Course </w:t>
      </w:r>
      <w:r w:rsidR="007F15B3">
        <w:rPr>
          <w:rFonts w:cs="Arial"/>
          <w:b/>
        </w:rPr>
        <w:t>Requirements</w:t>
      </w:r>
      <w:r w:rsidRPr="00496139">
        <w:rPr>
          <w:rFonts w:cs="Arial"/>
          <w:b/>
        </w:rPr>
        <w:t>:</w:t>
      </w:r>
    </w:p>
    <w:p w:rsidR="00D11DFF" w:rsidRPr="00496139" w:rsidRDefault="00D11DFF" w:rsidP="00BE4639">
      <w:pPr>
        <w:pStyle w:val="PlainText"/>
        <w:numPr>
          <w:ilvl w:val="0"/>
          <w:numId w:val="1"/>
        </w:numPr>
        <w:contextualSpacing/>
        <w:rPr>
          <w:rFonts w:asciiTheme="minorHAnsi" w:hAnsiTheme="minorHAnsi" w:cs="Arial"/>
          <w:b/>
          <w:sz w:val="22"/>
          <w:szCs w:val="22"/>
          <w:u w:val="single"/>
        </w:rPr>
      </w:pPr>
      <w:r w:rsidRPr="00496139">
        <w:rPr>
          <w:rFonts w:asciiTheme="minorHAnsi" w:hAnsiTheme="minorHAnsi" w:cs="Arial"/>
          <w:b/>
          <w:sz w:val="22"/>
          <w:szCs w:val="22"/>
          <w:u w:val="single"/>
        </w:rPr>
        <w:t>Exams</w:t>
      </w:r>
    </w:p>
    <w:p w:rsidR="00BE4639" w:rsidRPr="00496139" w:rsidRDefault="00D11DFF" w:rsidP="00BE4639">
      <w:pPr>
        <w:pStyle w:val="Default"/>
        <w:ind w:left="720"/>
        <w:contextualSpacing/>
        <w:rPr>
          <w:sz w:val="22"/>
          <w:szCs w:val="22"/>
        </w:rPr>
      </w:pPr>
      <w:r w:rsidRPr="00496139">
        <w:rPr>
          <w:rFonts w:asciiTheme="minorHAnsi" w:hAnsiTheme="minorHAnsi" w:cs="Arial"/>
          <w:sz w:val="22"/>
          <w:szCs w:val="22"/>
        </w:rPr>
        <w:t>There will be two exams during the course of the semester</w:t>
      </w:r>
      <w:r w:rsidR="0021710E" w:rsidRPr="00496139">
        <w:rPr>
          <w:rFonts w:cs="Arial"/>
          <w:sz w:val="22"/>
          <w:szCs w:val="22"/>
        </w:rPr>
        <w:t>, one at midterm</w:t>
      </w:r>
      <w:r w:rsidRPr="00496139">
        <w:rPr>
          <w:rFonts w:asciiTheme="minorHAnsi" w:hAnsiTheme="minorHAnsi" w:cs="Arial"/>
          <w:sz w:val="22"/>
          <w:szCs w:val="22"/>
        </w:rPr>
        <w:t xml:space="preserve"> and one during the </w:t>
      </w:r>
      <w:r w:rsidR="0021710E" w:rsidRPr="00496139">
        <w:rPr>
          <w:rFonts w:cs="Arial"/>
          <w:sz w:val="22"/>
          <w:szCs w:val="22"/>
        </w:rPr>
        <w:t>regularly-</w:t>
      </w:r>
      <w:r w:rsidRPr="00496139">
        <w:rPr>
          <w:rFonts w:asciiTheme="minorHAnsi" w:hAnsiTheme="minorHAnsi" w:cs="Arial"/>
          <w:sz w:val="22"/>
          <w:szCs w:val="22"/>
        </w:rPr>
        <w:t>scheduled final exam period</w:t>
      </w:r>
      <w:r w:rsidR="00BE4639" w:rsidRPr="00496139">
        <w:rPr>
          <w:rFonts w:asciiTheme="minorHAnsi" w:hAnsiTheme="minorHAnsi" w:cs="Arial"/>
          <w:sz w:val="22"/>
          <w:szCs w:val="22"/>
        </w:rPr>
        <w:t>, each worth 100 points</w:t>
      </w:r>
      <w:r w:rsidRPr="00496139">
        <w:rPr>
          <w:rFonts w:asciiTheme="minorHAnsi" w:hAnsiTheme="minorHAnsi" w:cs="Arial"/>
          <w:sz w:val="22"/>
          <w:szCs w:val="22"/>
        </w:rPr>
        <w:t xml:space="preserve">. </w:t>
      </w:r>
      <w:r w:rsidR="00BE4639" w:rsidRPr="00496139">
        <w:rPr>
          <w:sz w:val="22"/>
          <w:szCs w:val="22"/>
        </w:rPr>
        <w:t xml:space="preserve">Each exam includes both an in-class and a take-home component. The in-class component (70 points total) will consist of </w:t>
      </w:r>
      <w:r w:rsidR="00110F1E">
        <w:rPr>
          <w:sz w:val="22"/>
          <w:szCs w:val="22"/>
        </w:rPr>
        <w:t xml:space="preserve">short </w:t>
      </w:r>
      <w:r w:rsidR="00110F1E">
        <w:rPr>
          <w:sz w:val="22"/>
          <w:szCs w:val="22"/>
        </w:rPr>
        <w:lastRenderedPageBreak/>
        <w:t>answer questions</w:t>
      </w:r>
      <w:r w:rsidR="00BE4639" w:rsidRPr="00496139">
        <w:rPr>
          <w:sz w:val="22"/>
          <w:szCs w:val="22"/>
        </w:rPr>
        <w:t xml:space="preserve">. The take-home component (30 points) will consist of an essay question. For both exams, the take-home essay question will be provided a week before the exam and will be due on the scheduled exam day. Responses to the essay are not to exceed four double-spaced, single-sided pages. The take-home essay is open book, although you are expected to complete it individually. Plagiarism will be handled in accordance with the College policy – see the selection below on Academic Integrity for clarification. </w:t>
      </w:r>
    </w:p>
    <w:p w:rsidR="00D11DFF" w:rsidRPr="00496139" w:rsidRDefault="00D11DFF" w:rsidP="00BE4639">
      <w:pPr>
        <w:pStyle w:val="PlainText"/>
        <w:ind w:left="1440"/>
        <w:contextualSpacing/>
        <w:rPr>
          <w:rFonts w:asciiTheme="minorHAnsi" w:hAnsiTheme="minorHAnsi" w:cs="Arial"/>
          <w:sz w:val="22"/>
          <w:szCs w:val="22"/>
        </w:rPr>
      </w:pPr>
      <w:r w:rsidRPr="00496139">
        <w:rPr>
          <w:rFonts w:asciiTheme="minorHAnsi" w:hAnsiTheme="minorHAnsi" w:cs="Arial"/>
          <w:sz w:val="22"/>
          <w:szCs w:val="22"/>
        </w:rPr>
        <w:tab/>
      </w:r>
    </w:p>
    <w:p w:rsidR="00D11DFF" w:rsidRPr="00496139" w:rsidRDefault="00BE4639" w:rsidP="00BE4639">
      <w:pPr>
        <w:pStyle w:val="PlainText"/>
        <w:numPr>
          <w:ilvl w:val="0"/>
          <w:numId w:val="1"/>
        </w:numPr>
        <w:contextualSpacing/>
        <w:rPr>
          <w:rFonts w:asciiTheme="minorHAnsi" w:hAnsiTheme="minorHAnsi" w:cs="Arial"/>
          <w:b/>
          <w:sz w:val="22"/>
          <w:szCs w:val="22"/>
          <w:u w:val="single"/>
        </w:rPr>
      </w:pPr>
      <w:r w:rsidRPr="00496139">
        <w:rPr>
          <w:rFonts w:asciiTheme="minorHAnsi" w:hAnsiTheme="minorHAnsi" w:cs="Arial"/>
          <w:b/>
          <w:sz w:val="22"/>
          <w:szCs w:val="22"/>
          <w:u w:val="single"/>
        </w:rPr>
        <w:t>Projects</w:t>
      </w:r>
    </w:p>
    <w:p w:rsidR="00D11DFF" w:rsidRPr="00496139" w:rsidRDefault="00BE4639" w:rsidP="00BE4639">
      <w:pPr>
        <w:pStyle w:val="PlainText"/>
        <w:ind w:left="720"/>
        <w:contextualSpacing/>
        <w:rPr>
          <w:rFonts w:asciiTheme="minorHAnsi" w:hAnsiTheme="minorHAnsi" w:cs="Arial"/>
          <w:sz w:val="22"/>
          <w:szCs w:val="22"/>
        </w:rPr>
      </w:pPr>
      <w:r w:rsidRPr="00496139">
        <w:rPr>
          <w:rFonts w:asciiTheme="minorHAnsi" w:hAnsiTheme="minorHAnsi" w:cs="Arial"/>
          <w:sz w:val="22"/>
          <w:szCs w:val="22"/>
        </w:rPr>
        <w:t>Projects build</w:t>
      </w:r>
      <w:r w:rsidR="00D11DFF" w:rsidRPr="00496139">
        <w:rPr>
          <w:rFonts w:asciiTheme="minorHAnsi" w:hAnsiTheme="minorHAnsi" w:cs="Arial"/>
          <w:sz w:val="22"/>
          <w:szCs w:val="22"/>
        </w:rPr>
        <w:t xml:space="preserve"> on the knowledge and skills that you have gained in class</w:t>
      </w:r>
      <w:r w:rsidR="003B100A">
        <w:rPr>
          <w:rFonts w:asciiTheme="minorHAnsi" w:hAnsiTheme="minorHAnsi" w:cs="Arial"/>
          <w:sz w:val="22"/>
          <w:szCs w:val="22"/>
        </w:rPr>
        <w:t xml:space="preserve"> by giving you an opportunity to apply what you have learned</w:t>
      </w:r>
      <w:r w:rsidR="00D11DFF" w:rsidRPr="00496139">
        <w:rPr>
          <w:rFonts w:asciiTheme="minorHAnsi" w:hAnsiTheme="minorHAnsi" w:cs="Arial"/>
          <w:sz w:val="22"/>
          <w:szCs w:val="22"/>
        </w:rPr>
        <w:t xml:space="preserve">.  </w:t>
      </w:r>
      <w:r w:rsidR="003B100A">
        <w:rPr>
          <w:rFonts w:asciiTheme="minorHAnsi" w:hAnsiTheme="minorHAnsi" w:cs="Arial"/>
          <w:sz w:val="22"/>
          <w:szCs w:val="22"/>
        </w:rPr>
        <w:t>All four p</w:t>
      </w:r>
      <w:r w:rsidRPr="00496139">
        <w:rPr>
          <w:rFonts w:asciiTheme="minorHAnsi" w:hAnsiTheme="minorHAnsi" w:cs="Arial"/>
          <w:sz w:val="22"/>
          <w:szCs w:val="22"/>
        </w:rPr>
        <w:t>rojects should be completed individually and</w:t>
      </w:r>
      <w:r w:rsidR="0032599B" w:rsidRPr="00496139">
        <w:rPr>
          <w:rFonts w:asciiTheme="minorHAnsi" w:hAnsiTheme="minorHAnsi" w:cs="Arial"/>
          <w:sz w:val="22"/>
          <w:szCs w:val="22"/>
        </w:rPr>
        <w:t xml:space="preserve"> are worth </w:t>
      </w:r>
      <w:r w:rsidR="006A6C85">
        <w:rPr>
          <w:rFonts w:asciiTheme="minorHAnsi" w:hAnsiTheme="minorHAnsi" w:cs="Arial"/>
          <w:sz w:val="22"/>
          <w:szCs w:val="22"/>
        </w:rPr>
        <w:t>between 20-30</w:t>
      </w:r>
      <w:r w:rsidR="0032599B" w:rsidRPr="00496139">
        <w:rPr>
          <w:rFonts w:asciiTheme="minorHAnsi" w:hAnsiTheme="minorHAnsi" w:cs="Arial"/>
          <w:sz w:val="22"/>
          <w:szCs w:val="22"/>
        </w:rPr>
        <w:t xml:space="preserve"> points each. Details about each will be provided at a later point in class after we have covered the necessary content for you to complete them.</w:t>
      </w:r>
    </w:p>
    <w:p w:rsidR="00D11DFF" w:rsidRPr="00496139" w:rsidRDefault="00D11DFF" w:rsidP="00BE4639">
      <w:pPr>
        <w:pStyle w:val="PlainText"/>
        <w:ind w:left="720"/>
        <w:contextualSpacing/>
        <w:rPr>
          <w:rFonts w:asciiTheme="minorHAnsi" w:hAnsiTheme="minorHAnsi" w:cs="Arial"/>
          <w:sz w:val="22"/>
          <w:szCs w:val="22"/>
        </w:rPr>
      </w:pPr>
    </w:p>
    <w:p w:rsidR="00D11DFF" w:rsidRPr="00496139" w:rsidRDefault="00D11DFF" w:rsidP="00BE4639">
      <w:pPr>
        <w:pStyle w:val="PlainText"/>
        <w:numPr>
          <w:ilvl w:val="0"/>
          <w:numId w:val="1"/>
        </w:numPr>
        <w:contextualSpacing/>
        <w:rPr>
          <w:rFonts w:asciiTheme="minorHAnsi" w:hAnsiTheme="minorHAnsi" w:cs="Arial"/>
          <w:b/>
          <w:sz w:val="22"/>
          <w:szCs w:val="22"/>
          <w:u w:val="single"/>
        </w:rPr>
      </w:pPr>
      <w:r w:rsidRPr="00496139">
        <w:rPr>
          <w:rFonts w:asciiTheme="minorHAnsi" w:hAnsiTheme="minorHAnsi" w:cs="Arial"/>
          <w:b/>
          <w:sz w:val="22"/>
          <w:szCs w:val="22"/>
          <w:u w:val="single"/>
        </w:rPr>
        <w:t>Class Participation</w:t>
      </w:r>
    </w:p>
    <w:p w:rsidR="00D11DFF" w:rsidRPr="00445507" w:rsidRDefault="00B52309" w:rsidP="00BE4639">
      <w:pPr>
        <w:pStyle w:val="PlainText"/>
        <w:ind w:left="720"/>
        <w:contextualSpacing/>
        <w:rPr>
          <w:rFonts w:asciiTheme="minorHAnsi" w:hAnsiTheme="minorHAnsi" w:cs="Arial"/>
          <w:sz w:val="22"/>
          <w:szCs w:val="22"/>
        </w:rPr>
      </w:pPr>
      <w:r w:rsidRPr="00496139">
        <w:rPr>
          <w:rFonts w:asciiTheme="minorHAnsi" w:hAnsiTheme="minorHAnsi" w:cs="Arial"/>
          <w:sz w:val="22"/>
          <w:szCs w:val="22"/>
        </w:rPr>
        <w:t>You will receive a participation grade for each day of class after the first meeting because y</w:t>
      </w:r>
      <w:r w:rsidR="00D11DFF" w:rsidRPr="00496139">
        <w:rPr>
          <w:rFonts w:asciiTheme="minorHAnsi" w:hAnsiTheme="minorHAnsi" w:cs="Arial"/>
          <w:sz w:val="22"/>
          <w:szCs w:val="22"/>
        </w:rPr>
        <w:t>our thoughtful and active participation is essential</w:t>
      </w:r>
      <w:r w:rsidR="00D11DFF" w:rsidRPr="00445507">
        <w:rPr>
          <w:rFonts w:asciiTheme="minorHAnsi" w:hAnsiTheme="minorHAnsi" w:cs="Arial"/>
          <w:sz w:val="22"/>
          <w:szCs w:val="22"/>
        </w:rPr>
        <w:t xml:space="preserve"> to </w:t>
      </w:r>
      <w:r>
        <w:rPr>
          <w:rFonts w:asciiTheme="minorHAnsi" w:hAnsiTheme="minorHAnsi" w:cs="Arial"/>
          <w:sz w:val="22"/>
          <w:szCs w:val="22"/>
        </w:rPr>
        <w:t>being successful in</w:t>
      </w:r>
      <w:r w:rsidR="00D11DFF" w:rsidRPr="00445507">
        <w:rPr>
          <w:rFonts w:asciiTheme="minorHAnsi" w:hAnsiTheme="minorHAnsi" w:cs="Arial"/>
          <w:sz w:val="22"/>
          <w:szCs w:val="22"/>
        </w:rPr>
        <w:t xml:space="preserve"> this course.  You are expected to play an active role in class discussions as well as experiential activities that occur during class time.  </w:t>
      </w:r>
      <w:r w:rsidR="00D11DFF">
        <w:rPr>
          <w:rFonts w:asciiTheme="minorHAnsi" w:hAnsiTheme="minorHAnsi" w:cs="Arial"/>
          <w:sz w:val="22"/>
          <w:szCs w:val="22"/>
        </w:rPr>
        <w:t>Attendance do</w:t>
      </w:r>
      <w:r>
        <w:rPr>
          <w:rFonts w:asciiTheme="minorHAnsi" w:hAnsiTheme="minorHAnsi" w:cs="Arial"/>
          <w:sz w:val="22"/>
          <w:szCs w:val="22"/>
        </w:rPr>
        <w:t>es not constitute participation; if you have not completed the assigned reading and cannot make meaningful contributions, expect a low grade for the day.</w:t>
      </w:r>
    </w:p>
    <w:p w:rsidR="00D11DFF" w:rsidRPr="00445507" w:rsidRDefault="00D11DFF" w:rsidP="00D11DFF">
      <w:pPr>
        <w:pStyle w:val="PlainText"/>
        <w:ind w:left="720"/>
        <w:contextualSpacing/>
        <w:rPr>
          <w:rFonts w:asciiTheme="minorHAnsi" w:hAnsiTheme="minorHAnsi" w:cs="Arial"/>
        </w:rPr>
      </w:pPr>
    </w:p>
    <w:p w:rsidR="008F62E1" w:rsidRDefault="008F62E1" w:rsidP="00D11DFF">
      <w:pPr>
        <w:spacing w:line="240" w:lineRule="auto"/>
        <w:contextualSpacing/>
        <w:rPr>
          <w:rFonts w:cs="Arial"/>
          <w:b/>
        </w:rPr>
      </w:pPr>
    </w:p>
    <w:p w:rsidR="00D11DFF" w:rsidRPr="00E9762B" w:rsidRDefault="000304E6" w:rsidP="00D11DFF">
      <w:pPr>
        <w:spacing w:line="240" w:lineRule="auto"/>
        <w:contextualSpacing/>
        <w:rPr>
          <w:rFonts w:cs="Arial"/>
          <w:b/>
        </w:rPr>
      </w:pPr>
      <w:r>
        <w:rPr>
          <w:rFonts w:cs="Arial"/>
          <w:b/>
        </w:rPr>
        <w:t>Grading Criteria</w:t>
      </w:r>
      <w:r w:rsidR="00D11DFF">
        <w:rPr>
          <w:rFonts w:cs="Arial"/>
          <w:b/>
        </w:rPr>
        <w:t>:</w:t>
      </w:r>
    </w:p>
    <w:p w:rsidR="00D11DFF" w:rsidRPr="00E9762B" w:rsidRDefault="00D11DFF" w:rsidP="00D11DFF">
      <w:pPr>
        <w:spacing w:line="240" w:lineRule="auto"/>
        <w:contextualSpacing/>
        <w:rPr>
          <w:rFonts w:cs="Arial"/>
          <w:b/>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4380"/>
        <w:gridCol w:w="1530"/>
      </w:tblGrid>
      <w:tr w:rsidR="00D11DFF" w:rsidRPr="00E9762B" w:rsidTr="000304E6">
        <w:tc>
          <w:tcPr>
            <w:tcW w:w="4380" w:type="dxa"/>
          </w:tcPr>
          <w:p w:rsidR="00D11DFF" w:rsidRPr="00E9762B" w:rsidRDefault="00D11DFF" w:rsidP="00D11DFF">
            <w:pPr>
              <w:pStyle w:val="BodyText"/>
              <w:contextualSpacing/>
              <w:jc w:val="center"/>
              <w:rPr>
                <w:rFonts w:asciiTheme="minorHAnsi" w:hAnsiTheme="minorHAnsi" w:cs="Arial"/>
                <w:caps/>
                <w:sz w:val="22"/>
                <w:szCs w:val="22"/>
              </w:rPr>
            </w:pPr>
            <w:r w:rsidRPr="00E9762B">
              <w:rPr>
                <w:rFonts w:asciiTheme="minorHAnsi" w:hAnsiTheme="minorHAnsi" w:cs="Arial"/>
                <w:caps/>
                <w:sz w:val="22"/>
                <w:szCs w:val="22"/>
              </w:rPr>
              <w:t>course component</w:t>
            </w:r>
          </w:p>
        </w:tc>
        <w:tc>
          <w:tcPr>
            <w:tcW w:w="1530" w:type="dxa"/>
          </w:tcPr>
          <w:p w:rsidR="00D11DFF" w:rsidRPr="00E9762B" w:rsidRDefault="00D11DFF" w:rsidP="00D11DFF">
            <w:pPr>
              <w:pStyle w:val="BodyText"/>
              <w:contextualSpacing/>
              <w:jc w:val="center"/>
              <w:rPr>
                <w:rFonts w:asciiTheme="minorHAnsi" w:hAnsiTheme="minorHAnsi" w:cs="Arial"/>
                <w:caps/>
                <w:sz w:val="22"/>
                <w:szCs w:val="22"/>
              </w:rPr>
            </w:pPr>
            <w:r w:rsidRPr="00E9762B">
              <w:rPr>
                <w:rFonts w:asciiTheme="minorHAnsi" w:hAnsiTheme="minorHAnsi" w:cs="Arial"/>
                <w:caps/>
                <w:sz w:val="22"/>
                <w:szCs w:val="22"/>
              </w:rPr>
              <w:t>Point</w:t>
            </w:r>
            <w:r w:rsidR="00CC51A5">
              <w:rPr>
                <w:rFonts w:asciiTheme="minorHAnsi" w:hAnsiTheme="minorHAnsi" w:cs="Arial"/>
                <w:caps/>
                <w:sz w:val="22"/>
                <w:szCs w:val="22"/>
              </w:rPr>
              <w:t xml:space="preserve"> VALUE</w:t>
            </w:r>
          </w:p>
        </w:tc>
      </w:tr>
      <w:tr w:rsidR="00D11DFF" w:rsidRPr="00E9762B" w:rsidTr="000304E6">
        <w:tc>
          <w:tcPr>
            <w:tcW w:w="4380" w:type="dxa"/>
          </w:tcPr>
          <w:p w:rsidR="00D11DFF" w:rsidRPr="00E9762B" w:rsidRDefault="00D11DFF" w:rsidP="00BE4639">
            <w:pPr>
              <w:pStyle w:val="BodyText"/>
              <w:contextualSpacing/>
              <w:jc w:val="both"/>
              <w:rPr>
                <w:rFonts w:asciiTheme="minorHAnsi" w:hAnsiTheme="minorHAnsi" w:cs="Arial"/>
                <w:sz w:val="22"/>
                <w:szCs w:val="22"/>
              </w:rPr>
            </w:pPr>
            <w:r w:rsidRPr="00E9762B">
              <w:rPr>
                <w:rFonts w:asciiTheme="minorHAnsi" w:hAnsiTheme="minorHAnsi" w:cs="Arial"/>
                <w:sz w:val="22"/>
                <w:szCs w:val="22"/>
              </w:rPr>
              <w:t xml:space="preserve">Tests  - </w:t>
            </w:r>
            <w:r w:rsidR="0021710E">
              <w:rPr>
                <w:rFonts w:asciiTheme="minorHAnsi" w:hAnsiTheme="minorHAnsi" w:cs="Arial"/>
                <w:sz w:val="22"/>
                <w:szCs w:val="22"/>
              </w:rPr>
              <w:t>2</w:t>
            </w:r>
            <w:r w:rsidR="00CC51A5">
              <w:rPr>
                <w:rFonts w:asciiTheme="minorHAnsi" w:hAnsiTheme="minorHAnsi" w:cs="Arial"/>
                <w:sz w:val="22"/>
                <w:szCs w:val="22"/>
              </w:rPr>
              <w:t xml:space="preserve"> </w:t>
            </w:r>
            <w:r w:rsidR="00BE4639">
              <w:rPr>
                <w:rFonts w:asciiTheme="minorHAnsi" w:hAnsiTheme="minorHAnsi" w:cs="Arial"/>
                <w:sz w:val="22"/>
                <w:szCs w:val="22"/>
              </w:rPr>
              <w:t>@</w:t>
            </w:r>
            <w:r w:rsidR="00CC51A5">
              <w:rPr>
                <w:rFonts w:asciiTheme="minorHAnsi" w:hAnsiTheme="minorHAnsi" w:cs="Arial"/>
                <w:sz w:val="22"/>
                <w:szCs w:val="22"/>
              </w:rPr>
              <w:t xml:space="preserve"> </w:t>
            </w:r>
            <w:r w:rsidR="00BE4639">
              <w:rPr>
                <w:rFonts w:asciiTheme="minorHAnsi" w:hAnsiTheme="minorHAnsi" w:cs="Arial"/>
                <w:sz w:val="22"/>
                <w:szCs w:val="22"/>
              </w:rPr>
              <w:t>100</w:t>
            </w:r>
            <w:r w:rsidRPr="00E9762B">
              <w:rPr>
                <w:rFonts w:asciiTheme="minorHAnsi" w:hAnsiTheme="minorHAnsi" w:cs="Arial"/>
                <w:sz w:val="22"/>
                <w:szCs w:val="22"/>
              </w:rPr>
              <w:t xml:space="preserve"> points </w:t>
            </w:r>
          </w:p>
        </w:tc>
        <w:tc>
          <w:tcPr>
            <w:tcW w:w="1530" w:type="dxa"/>
          </w:tcPr>
          <w:p w:rsidR="00D11DFF" w:rsidRPr="00E9762B" w:rsidRDefault="0021710E" w:rsidP="00BE4639">
            <w:pPr>
              <w:pStyle w:val="BodyText"/>
              <w:contextualSpacing/>
              <w:jc w:val="center"/>
              <w:rPr>
                <w:rFonts w:asciiTheme="minorHAnsi" w:hAnsiTheme="minorHAnsi" w:cs="Arial"/>
                <w:sz w:val="22"/>
                <w:szCs w:val="22"/>
              </w:rPr>
            </w:pPr>
            <w:r>
              <w:rPr>
                <w:rFonts w:asciiTheme="minorHAnsi" w:hAnsiTheme="minorHAnsi" w:cs="Arial"/>
                <w:sz w:val="22"/>
                <w:szCs w:val="22"/>
              </w:rPr>
              <w:t>2</w:t>
            </w:r>
            <w:r w:rsidR="00BE4639">
              <w:rPr>
                <w:rFonts w:asciiTheme="minorHAnsi" w:hAnsiTheme="minorHAnsi" w:cs="Arial"/>
                <w:sz w:val="22"/>
                <w:szCs w:val="22"/>
              </w:rPr>
              <w:t>00</w:t>
            </w:r>
          </w:p>
        </w:tc>
      </w:tr>
      <w:tr w:rsidR="00D11DFF" w:rsidRPr="00E9762B" w:rsidTr="000304E6">
        <w:tc>
          <w:tcPr>
            <w:tcW w:w="4380" w:type="dxa"/>
          </w:tcPr>
          <w:p w:rsidR="00D11DFF" w:rsidRPr="00E9762B" w:rsidRDefault="0021710E" w:rsidP="00CC51A5">
            <w:pPr>
              <w:pStyle w:val="BodyText"/>
              <w:contextualSpacing/>
              <w:rPr>
                <w:rFonts w:asciiTheme="minorHAnsi" w:hAnsiTheme="minorHAnsi" w:cs="Arial"/>
                <w:sz w:val="22"/>
                <w:szCs w:val="22"/>
              </w:rPr>
            </w:pPr>
            <w:r>
              <w:rPr>
                <w:rFonts w:asciiTheme="minorHAnsi" w:hAnsiTheme="minorHAnsi" w:cs="Arial"/>
                <w:sz w:val="22"/>
                <w:szCs w:val="22"/>
              </w:rPr>
              <w:t>Projects – 4</w:t>
            </w:r>
            <w:r w:rsidR="00CC51A5">
              <w:rPr>
                <w:rFonts w:asciiTheme="minorHAnsi" w:hAnsiTheme="minorHAnsi" w:cs="Arial"/>
                <w:sz w:val="22"/>
                <w:szCs w:val="22"/>
              </w:rPr>
              <w:t xml:space="preserve"> @ 20-30 points each</w:t>
            </w:r>
          </w:p>
        </w:tc>
        <w:tc>
          <w:tcPr>
            <w:tcW w:w="1530" w:type="dxa"/>
          </w:tcPr>
          <w:p w:rsidR="00D11DFF" w:rsidRPr="00E9762B" w:rsidRDefault="0021710E" w:rsidP="00D11DFF">
            <w:pPr>
              <w:pStyle w:val="BodyText"/>
              <w:contextualSpacing/>
              <w:jc w:val="center"/>
              <w:rPr>
                <w:rFonts w:asciiTheme="minorHAnsi" w:hAnsiTheme="minorHAnsi" w:cs="Arial"/>
                <w:sz w:val="22"/>
                <w:szCs w:val="22"/>
              </w:rPr>
            </w:pPr>
            <w:r>
              <w:rPr>
                <w:rFonts w:asciiTheme="minorHAnsi" w:hAnsiTheme="minorHAnsi" w:cs="Arial"/>
                <w:sz w:val="22"/>
                <w:szCs w:val="22"/>
              </w:rPr>
              <w:t>100</w:t>
            </w:r>
          </w:p>
        </w:tc>
      </w:tr>
      <w:tr w:rsidR="00D11DFF" w:rsidRPr="00E9762B" w:rsidTr="000304E6">
        <w:tc>
          <w:tcPr>
            <w:tcW w:w="4380" w:type="dxa"/>
          </w:tcPr>
          <w:p w:rsidR="00D11DFF" w:rsidRPr="00E9762B" w:rsidRDefault="00D11DFF" w:rsidP="00D11DFF">
            <w:pPr>
              <w:pStyle w:val="BodyText"/>
              <w:contextualSpacing/>
              <w:rPr>
                <w:rFonts w:asciiTheme="minorHAnsi" w:hAnsiTheme="minorHAnsi" w:cs="Arial"/>
                <w:sz w:val="22"/>
                <w:szCs w:val="22"/>
              </w:rPr>
            </w:pPr>
            <w:r w:rsidRPr="00E9762B">
              <w:rPr>
                <w:rFonts w:asciiTheme="minorHAnsi" w:hAnsiTheme="minorHAnsi" w:cs="Arial"/>
                <w:sz w:val="22"/>
                <w:szCs w:val="22"/>
              </w:rPr>
              <w:t>Class Participation</w:t>
            </w:r>
          </w:p>
        </w:tc>
        <w:tc>
          <w:tcPr>
            <w:tcW w:w="1530" w:type="dxa"/>
          </w:tcPr>
          <w:p w:rsidR="00D11DFF" w:rsidRPr="00E9762B" w:rsidRDefault="003B100A" w:rsidP="00BE4639">
            <w:pPr>
              <w:pStyle w:val="BodyText"/>
              <w:contextualSpacing/>
              <w:jc w:val="center"/>
              <w:rPr>
                <w:rFonts w:asciiTheme="minorHAnsi" w:hAnsiTheme="minorHAnsi" w:cs="Arial"/>
                <w:sz w:val="22"/>
                <w:szCs w:val="22"/>
              </w:rPr>
            </w:pPr>
            <w:r>
              <w:rPr>
                <w:rFonts w:asciiTheme="minorHAnsi" w:hAnsiTheme="minorHAnsi" w:cs="Arial"/>
                <w:sz w:val="22"/>
                <w:szCs w:val="22"/>
              </w:rPr>
              <w:t>50</w:t>
            </w:r>
          </w:p>
        </w:tc>
      </w:tr>
      <w:tr w:rsidR="00D11DFF" w:rsidRPr="00E9762B" w:rsidTr="000304E6">
        <w:trPr>
          <w:trHeight w:val="65"/>
        </w:trPr>
        <w:tc>
          <w:tcPr>
            <w:tcW w:w="4380" w:type="dxa"/>
          </w:tcPr>
          <w:p w:rsidR="00D11DFF" w:rsidRPr="0000728C" w:rsidRDefault="0000728C" w:rsidP="0000728C">
            <w:pPr>
              <w:pStyle w:val="BodyText"/>
              <w:contextualSpacing/>
              <w:rPr>
                <w:rFonts w:asciiTheme="minorHAnsi" w:hAnsiTheme="minorHAnsi" w:cs="Arial"/>
                <w:b/>
                <w:sz w:val="22"/>
                <w:szCs w:val="22"/>
              </w:rPr>
            </w:pPr>
            <w:r w:rsidRPr="0000728C">
              <w:rPr>
                <w:rFonts w:asciiTheme="minorHAnsi" w:hAnsiTheme="minorHAnsi" w:cs="Arial"/>
                <w:b/>
                <w:sz w:val="22"/>
                <w:szCs w:val="22"/>
              </w:rPr>
              <w:t>TOTAL</w:t>
            </w:r>
            <w:r w:rsidR="00CC51A5" w:rsidRPr="0000728C">
              <w:rPr>
                <w:rFonts w:asciiTheme="minorHAnsi" w:hAnsiTheme="minorHAnsi" w:cs="Arial"/>
                <w:b/>
                <w:sz w:val="22"/>
                <w:szCs w:val="22"/>
              </w:rPr>
              <w:t xml:space="preserve"> </w:t>
            </w:r>
          </w:p>
        </w:tc>
        <w:tc>
          <w:tcPr>
            <w:tcW w:w="1530" w:type="dxa"/>
          </w:tcPr>
          <w:p w:rsidR="00D11DFF" w:rsidRPr="0000728C" w:rsidRDefault="008F62E1" w:rsidP="00D11DFF">
            <w:pPr>
              <w:pStyle w:val="BodyText"/>
              <w:contextualSpacing/>
              <w:jc w:val="center"/>
              <w:rPr>
                <w:rFonts w:asciiTheme="minorHAnsi" w:hAnsiTheme="minorHAnsi" w:cs="Arial"/>
                <w:b/>
                <w:sz w:val="22"/>
                <w:szCs w:val="22"/>
              </w:rPr>
            </w:pPr>
            <w:r>
              <w:rPr>
                <w:rFonts w:asciiTheme="minorHAnsi" w:hAnsiTheme="minorHAnsi" w:cs="Arial"/>
                <w:b/>
                <w:sz w:val="22"/>
                <w:szCs w:val="22"/>
              </w:rPr>
              <w:t>350</w:t>
            </w:r>
          </w:p>
        </w:tc>
      </w:tr>
    </w:tbl>
    <w:p w:rsidR="007F15B3" w:rsidRDefault="007F15B3" w:rsidP="007F15B3">
      <w:pPr>
        <w:tabs>
          <w:tab w:val="left" w:pos="2187"/>
        </w:tabs>
        <w:spacing w:line="240" w:lineRule="auto"/>
        <w:contextualSpacing/>
        <w:rPr>
          <w:rFonts w:cs="Arial"/>
        </w:rPr>
      </w:pPr>
      <w:r>
        <w:rPr>
          <w:rFonts w:cs="Arial"/>
        </w:rPr>
        <w:tab/>
      </w:r>
    </w:p>
    <w:p w:rsidR="00D11DFF" w:rsidRPr="00445507" w:rsidRDefault="00D11DFF" w:rsidP="007F15B3">
      <w:pPr>
        <w:spacing w:line="240" w:lineRule="auto"/>
        <w:contextualSpacing/>
        <w:rPr>
          <w:rFonts w:cs="Arial"/>
          <w:b/>
          <w:sz w:val="20"/>
        </w:rPr>
      </w:pPr>
      <w:r w:rsidRPr="00E9762B">
        <w:rPr>
          <w:rFonts w:cs="Arial"/>
        </w:rPr>
        <w:t>Final grades will be based on the percentage of total points that you earn.  The following grading system will be used to assign letter grades for the course:</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744"/>
        <w:gridCol w:w="2333"/>
        <w:gridCol w:w="2401"/>
        <w:gridCol w:w="2229"/>
      </w:tblGrid>
      <w:tr w:rsidR="00D11DFF" w:rsidRPr="00445507" w:rsidTr="007F15B3">
        <w:trPr>
          <w:trHeight w:val="734"/>
        </w:trPr>
        <w:tc>
          <w:tcPr>
            <w:tcW w:w="2744"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caps/>
                <w:sz w:val="20"/>
              </w:rPr>
            </w:pPr>
            <w:r w:rsidRPr="00445507">
              <w:rPr>
                <w:rFonts w:asciiTheme="minorHAnsi" w:hAnsiTheme="minorHAnsi" w:cs="Arial"/>
                <w:caps/>
                <w:sz w:val="20"/>
              </w:rPr>
              <w:t>EARNED Percentage TOTAL</w:t>
            </w:r>
          </w:p>
        </w:tc>
        <w:tc>
          <w:tcPr>
            <w:tcW w:w="2333"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caps/>
                <w:sz w:val="20"/>
              </w:rPr>
            </w:pPr>
            <w:r w:rsidRPr="00445507">
              <w:rPr>
                <w:rFonts w:asciiTheme="minorHAnsi" w:hAnsiTheme="minorHAnsi" w:cs="Arial"/>
                <w:caps/>
                <w:sz w:val="20"/>
              </w:rPr>
              <w:t xml:space="preserve">COURSE </w:t>
            </w:r>
          </w:p>
          <w:p w:rsidR="00D11DFF" w:rsidRPr="00445507" w:rsidRDefault="00D11DFF" w:rsidP="00D11DFF">
            <w:pPr>
              <w:pStyle w:val="BodyText"/>
              <w:framePr w:hSpace="180" w:wrap="around" w:vAnchor="text" w:hAnchor="margin" w:xAlign="center" w:y="83"/>
              <w:contextualSpacing/>
              <w:jc w:val="center"/>
              <w:rPr>
                <w:rFonts w:asciiTheme="minorHAnsi" w:hAnsiTheme="minorHAnsi" w:cs="Arial"/>
                <w:caps/>
                <w:sz w:val="20"/>
              </w:rPr>
            </w:pPr>
            <w:r w:rsidRPr="00445507">
              <w:rPr>
                <w:rFonts w:asciiTheme="minorHAnsi" w:hAnsiTheme="minorHAnsi" w:cs="Arial"/>
                <w:caps/>
                <w:sz w:val="20"/>
              </w:rPr>
              <w:t>GRADE</w:t>
            </w:r>
          </w:p>
        </w:tc>
        <w:tc>
          <w:tcPr>
            <w:tcW w:w="2401"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caps/>
                <w:sz w:val="20"/>
              </w:rPr>
            </w:pPr>
            <w:r w:rsidRPr="00445507">
              <w:rPr>
                <w:rFonts w:asciiTheme="minorHAnsi" w:hAnsiTheme="minorHAnsi" w:cs="Arial"/>
                <w:caps/>
                <w:sz w:val="20"/>
              </w:rPr>
              <w:t>EARNED Percentage TOTAL</w:t>
            </w:r>
          </w:p>
        </w:tc>
        <w:tc>
          <w:tcPr>
            <w:tcW w:w="2229"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caps/>
                <w:sz w:val="20"/>
              </w:rPr>
            </w:pPr>
            <w:r w:rsidRPr="00445507">
              <w:rPr>
                <w:rFonts w:asciiTheme="minorHAnsi" w:hAnsiTheme="minorHAnsi" w:cs="Arial"/>
                <w:caps/>
                <w:sz w:val="20"/>
              </w:rPr>
              <w:t xml:space="preserve">COURSE </w:t>
            </w:r>
          </w:p>
          <w:p w:rsidR="00D11DFF" w:rsidRPr="00445507" w:rsidRDefault="00D11DFF" w:rsidP="00D11DFF">
            <w:pPr>
              <w:pStyle w:val="BodyText"/>
              <w:framePr w:hSpace="180" w:wrap="around" w:vAnchor="text" w:hAnchor="margin" w:xAlign="center" w:y="83"/>
              <w:contextualSpacing/>
              <w:jc w:val="center"/>
              <w:rPr>
                <w:rFonts w:asciiTheme="minorHAnsi" w:hAnsiTheme="minorHAnsi" w:cs="Arial"/>
                <w:caps/>
                <w:sz w:val="20"/>
              </w:rPr>
            </w:pPr>
            <w:r w:rsidRPr="00445507">
              <w:rPr>
                <w:rFonts w:asciiTheme="minorHAnsi" w:hAnsiTheme="minorHAnsi" w:cs="Arial"/>
                <w:caps/>
                <w:sz w:val="20"/>
              </w:rPr>
              <w:t>GRADE</w:t>
            </w:r>
          </w:p>
        </w:tc>
      </w:tr>
      <w:tr w:rsidR="00D11DFF" w:rsidRPr="00445507" w:rsidTr="007F15B3">
        <w:trPr>
          <w:trHeight w:val="241"/>
        </w:trPr>
        <w:tc>
          <w:tcPr>
            <w:tcW w:w="2744"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93-100%</w:t>
            </w:r>
          </w:p>
        </w:tc>
        <w:tc>
          <w:tcPr>
            <w:tcW w:w="2333"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A</w:t>
            </w:r>
          </w:p>
        </w:tc>
        <w:tc>
          <w:tcPr>
            <w:tcW w:w="2401"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73-76%</w:t>
            </w:r>
          </w:p>
        </w:tc>
        <w:tc>
          <w:tcPr>
            <w:tcW w:w="2229"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C</w:t>
            </w:r>
          </w:p>
        </w:tc>
      </w:tr>
      <w:tr w:rsidR="00D11DFF" w:rsidRPr="00445507" w:rsidTr="007F15B3">
        <w:trPr>
          <w:trHeight w:val="254"/>
        </w:trPr>
        <w:tc>
          <w:tcPr>
            <w:tcW w:w="2744"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90-92%</w:t>
            </w:r>
          </w:p>
        </w:tc>
        <w:tc>
          <w:tcPr>
            <w:tcW w:w="2333"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 xml:space="preserve"> A-</w:t>
            </w:r>
          </w:p>
        </w:tc>
        <w:tc>
          <w:tcPr>
            <w:tcW w:w="2401"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70-72%</w:t>
            </w:r>
          </w:p>
        </w:tc>
        <w:tc>
          <w:tcPr>
            <w:tcW w:w="2229"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C-</w:t>
            </w:r>
          </w:p>
        </w:tc>
      </w:tr>
      <w:tr w:rsidR="00D11DFF" w:rsidRPr="00445507" w:rsidTr="007F15B3">
        <w:trPr>
          <w:trHeight w:val="241"/>
        </w:trPr>
        <w:tc>
          <w:tcPr>
            <w:tcW w:w="2744"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87-89%</w:t>
            </w:r>
          </w:p>
        </w:tc>
        <w:tc>
          <w:tcPr>
            <w:tcW w:w="2333"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 xml:space="preserve"> B+</w:t>
            </w:r>
          </w:p>
        </w:tc>
        <w:tc>
          <w:tcPr>
            <w:tcW w:w="2401"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67-69%</w:t>
            </w:r>
          </w:p>
        </w:tc>
        <w:tc>
          <w:tcPr>
            <w:tcW w:w="2229"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 xml:space="preserve"> D+</w:t>
            </w:r>
          </w:p>
        </w:tc>
      </w:tr>
      <w:tr w:rsidR="00D11DFF" w:rsidRPr="00445507" w:rsidTr="007F15B3">
        <w:trPr>
          <w:trHeight w:val="241"/>
        </w:trPr>
        <w:tc>
          <w:tcPr>
            <w:tcW w:w="2744"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83-86%</w:t>
            </w:r>
          </w:p>
        </w:tc>
        <w:tc>
          <w:tcPr>
            <w:tcW w:w="2333"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B</w:t>
            </w:r>
          </w:p>
        </w:tc>
        <w:tc>
          <w:tcPr>
            <w:tcW w:w="2401"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60-66%</w:t>
            </w:r>
          </w:p>
        </w:tc>
        <w:tc>
          <w:tcPr>
            <w:tcW w:w="2229"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D</w:t>
            </w:r>
          </w:p>
        </w:tc>
      </w:tr>
      <w:tr w:rsidR="00D11DFF" w:rsidRPr="00445507" w:rsidTr="007F15B3">
        <w:trPr>
          <w:trHeight w:val="254"/>
        </w:trPr>
        <w:tc>
          <w:tcPr>
            <w:tcW w:w="2744"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80-82%</w:t>
            </w:r>
          </w:p>
        </w:tc>
        <w:tc>
          <w:tcPr>
            <w:tcW w:w="2333"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B-</w:t>
            </w:r>
          </w:p>
        </w:tc>
        <w:tc>
          <w:tcPr>
            <w:tcW w:w="2401"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&lt;60%</w:t>
            </w:r>
          </w:p>
        </w:tc>
        <w:tc>
          <w:tcPr>
            <w:tcW w:w="2229"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F</w:t>
            </w:r>
          </w:p>
        </w:tc>
      </w:tr>
      <w:tr w:rsidR="00D11DFF" w:rsidRPr="00445507" w:rsidTr="007F15B3">
        <w:trPr>
          <w:trHeight w:val="241"/>
        </w:trPr>
        <w:tc>
          <w:tcPr>
            <w:tcW w:w="2744"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77-79%</w:t>
            </w:r>
          </w:p>
        </w:tc>
        <w:tc>
          <w:tcPr>
            <w:tcW w:w="2333"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r w:rsidRPr="00445507">
              <w:rPr>
                <w:rFonts w:asciiTheme="minorHAnsi" w:hAnsiTheme="minorHAnsi" w:cs="Arial"/>
                <w:sz w:val="20"/>
              </w:rPr>
              <w:t xml:space="preserve"> C+</w:t>
            </w:r>
          </w:p>
        </w:tc>
        <w:tc>
          <w:tcPr>
            <w:tcW w:w="2401"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p>
        </w:tc>
        <w:tc>
          <w:tcPr>
            <w:tcW w:w="2229" w:type="dxa"/>
          </w:tcPr>
          <w:p w:rsidR="00D11DFF" w:rsidRPr="00445507" w:rsidRDefault="00D11DFF" w:rsidP="00D11DFF">
            <w:pPr>
              <w:pStyle w:val="BodyText"/>
              <w:framePr w:hSpace="180" w:wrap="around" w:vAnchor="text" w:hAnchor="margin" w:xAlign="center" w:y="83"/>
              <w:contextualSpacing/>
              <w:jc w:val="center"/>
              <w:rPr>
                <w:rFonts w:asciiTheme="minorHAnsi" w:hAnsiTheme="minorHAnsi" w:cs="Arial"/>
                <w:sz w:val="20"/>
              </w:rPr>
            </w:pPr>
          </w:p>
        </w:tc>
      </w:tr>
    </w:tbl>
    <w:p w:rsidR="00D11DFF" w:rsidRPr="00E9762B" w:rsidRDefault="00D11DFF" w:rsidP="007D7F4C">
      <w:pPr>
        <w:pStyle w:val="Heading1"/>
        <w:widowControl w:val="0"/>
        <w:overflowPunct w:val="0"/>
        <w:adjustRightInd w:val="0"/>
        <w:contextualSpacing/>
        <w:rPr>
          <w:rFonts w:asciiTheme="minorHAnsi" w:hAnsiTheme="minorHAnsi" w:cs="Arial"/>
          <w:sz w:val="22"/>
          <w:szCs w:val="22"/>
        </w:rPr>
      </w:pPr>
      <w:r w:rsidRPr="00E9762B">
        <w:rPr>
          <w:rFonts w:asciiTheme="minorHAnsi" w:hAnsiTheme="minorHAnsi" w:cs="Arial"/>
          <w:sz w:val="22"/>
          <w:szCs w:val="22"/>
        </w:rPr>
        <w:lastRenderedPageBreak/>
        <w:t>Extra Credit:</w:t>
      </w:r>
    </w:p>
    <w:p w:rsidR="00D11DFF" w:rsidRPr="00E9762B" w:rsidRDefault="00D11DFF" w:rsidP="007D7F4C">
      <w:pPr>
        <w:spacing w:line="240" w:lineRule="auto"/>
        <w:contextualSpacing/>
        <w:rPr>
          <w:rFonts w:cs="Arial"/>
        </w:rPr>
      </w:pPr>
      <w:r w:rsidRPr="00E9762B">
        <w:rPr>
          <w:rFonts w:cs="Arial"/>
        </w:rPr>
        <w:t xml:space="preserve">You can earn a maximum of </w:t>
      </w:r>
      <w:r w:rsidR="0032599B">
        <w:rPr>
          <w:rFonts w:cs="Arial"/>
        </w:rPr>
        <w:t>5</w:t>
      </w:r>
      <w:r w:rsidRPr="00E9762B">
        <w:rPr>
          <w:rFonts w:cs="Arial"/>
        </w:rPr>
        <w:t xml:space="preserve"> points of extra credit </w:t>
      </w:r>
      <w:r>
        <w:rPr>
          <w:rFonts w:cs="Arial"/>
        </w:rPr>
        <w:t>by being in class to complete the review quizzes that the class will take at the beginning of every class meeting with a lecture. I will randomly take up five of these quizzes during the course of the semester and award a point of credit to each person who completed the quiz, regardless of the correctness of the answers given. You must be in class to complete the quiz to earn these points; students who are absent or tardy will not have an opportunity to make up the quiz when it is taken up for credit.</w:t>
      </w:r>
    </w:p>
    <w:p w:rsidR="007D7F4C" w:rsidRDefault="007D7F4C" w:rsidP="007D7F4C">
      <w:pPr>
        <w:spacing w:line="240" w:lineRule="auto"/>
        <w:contextualSpacing/>
        <w:rPr>
          <w:rFonts w:cstheme="minorHAnsi"/>
          <w:b/>
        </w:rPr>
      </w:pPr>
    </w:p>
    <w:p w:rsidR="007D7F4C" w:rsidRPr="00E65AD1" w:rsidRDefault="007D7F4C" w:rsidP="007D7F4C">
      <w:pPr>
        <w:spacing w:line="240" w:lineRule="auto"/>
        <w:contextualSpacing/>
        <w:rPr>
          <w:rFonts w:cstheme="minorHAnsi"/>
          <w:b/>
        </w:rPr>
      </w:pPr>
      <w:r>
        <w:rPr>
          <w:rFonts w:cstheme="minorHAnsi"/>
          <w:b/>
        </w:rPr>
        <w:t>Reading and Communication Policies</w:t>
      </w:r>
      <w:r w:rsidRPr="00E65AD1">
        <w:rPr>
          <w:rFonts w:cstheme="minorHAnsi"/>
          <w:b/>
        </w:rPr>
        <w:t>:</w:t>
      </w:r>
    </w:p>
    <w:p w:rsidR="007D7F4C" w:rsidRPr="00E65AD1" w:rsidRDefault="00B23ED7" w:rsidP="007D7F4C">
      <w:pPr>
        <w:spacing w:line="240" w:lineRule="auto"/>
        <w:contextualSpacing/>
        <w:rPr>
          <w:rFonts w:cstheme="minorHAnsi"/>
        </w:rPr>
      </w:pPr>
      <w:r>
        <w:rPr>
          <w:rFonts w:cstheme="minorHAnsi"/>
        </w:rPr>
        <w:t>Required readings</w:t>
      </w:r>
      <w:r w:rsidR="007D7F4C" w:rsidRPr="00E65AD1">
        <w:rPr>
          <w:rFonts w:cstheme="minorHAnsi"/>
        </w:rPr>
        <w:t xml:space="preserve"> will be posted on SOCS for you to download. It is your responsibility to </w:t>
      </w:r>
      <w:r>
        <w:rPr>
          <w:rFonts w:cstheme="minorHAnsi"/>
        </w:rPr>
        <w:t>read these items and</w:t>
      </w:r>
      <w:r w:rsidR="007D7F4C" w:rsidRPr="00E65AD1">
        <w:rPr>
          <w:rFonts w:cstheme="minorHAnsi"/>
        </w:rPr>
        <w:t xml:space="preserve"> bring them to class</w:t>
      </w:r>
      <w:r>
        <w:rPr>
          <w:rFonts w:cstheme="minorHAnsi"/>
        </w:rPr>
        <w:t xml:space="preserve"> (print or electronic)</w:t>
      </w:r>
      <w:r w:rsidR="007D7F4C" w:rsidRPr="00E65AD1">
        <w:rPr>
          <w:rFonts w:cstheme="minorHAnsi"/>
        </w:rPr>
        <w:t xml:space="preserve">. </w:t>
      </w:r>
      <w:r w:rsidR="007D7F4C">
        <w:rPr>
          <w:rFonts w:cstheme="minorHAnsi"/>
        </w:rPr>
        <w:t>Each day</w:t>
      </w:r>
      <w:r w:rsidR="007D7F4C" w:rsidRPr="00E65AD1">
        <w:rPr>
          <w:rFonts w:cstheme="minorHAnsi"/>
        </w:rPr>
        <w:t xml:space="preserve"> you will be expected to read </w:t>
      </w:r>
      <w:r w:rsidR="007D7F4C">
        <w:rPr>
          <w:rFonts w:cstheme="minorHAnsi"/>
        </w:rPr>
        <w:t>approximately three</w:t>
      </w:r>
      <w:r w:rsidR="007D7F4C" w:rsidRPr="00E65AD1">
        <w:rPr>
          <w:rFonts w:cstheme="minorHAnsi"/>
        </w:rPr>
        <w:t xml:space="preserve"> chapters, cases, or articles</w:t>
      </w:r>
      <w:r>
        <w:rPr>
          <w:rFonts w:cstheme="minorHAnsi"/>
        </w:rPr>
        <w:t xml:space="preserve"> and</w:t>
      </w:r>
      <w:r w:rsidR="007D7F4C" w:rsidRPr="00E65AD1">
        <w:rPr>
          <w:rFonts w:cstheme="minorHAnsi"/>
        </w:rPr>
        <w:t xml:space="preserve"> you will be expected to discuss the</w:t>
      </w:r>
      <w:r>
        <w:rPr>
          <w:rFonts w:cstheme="minorHAnsi"/>
        </w:rPr>
        <w:t>m</w:t>
      </w:r>
      <w:r w:rsidR="007D7F4C" w:rsidRPr="00E65AD1">
        <w:rPr>
          <w:rFonts w:cstheme="minorHAnsi"/>
        </w:rPr>
        <w:t xml:space="preserve"> and have sufficient understanding to participate in class activities. </w:t>
      </w:r>
      <w:r w:rsidR="007D7F4C" w:rsidRPr="00E65AD1">
        <w:rPr>
          <w:rFonts w:cstheme="minorHAnsi"/>
          <w:i/>
        </w:rPr>
        <w:t>Please note</w:t>
      </w:r>
      <w:r w:rsidR="007D7F4C" w:rsidRPr="00E65AD1">
        <w:rPr>
          <w:rFonts w:cstheme="minorHAnsi"/>
        </w:rPr>
        <w:t xml:space="preserve"> that unannounced quizzes will be implemented if I find that students are coming to class unprepared. I will use SOCS for all course communication about assignments and class meetings. If you do not use your TCNJ e-mail account, please forward e-mail from that account to the account that you check regularly. </w:t>
      </w:r>
    </w:p>
    <w:p w:rsidR="007D7F4C" w:rsidRPr="00E65AD1" w:rsidRDefault="007D7F4C" w:rsidP="007D7F4C">
      <w:pPr>
        <w:pStyle w:val="Heading1"/>
        <w:widowControl w:val="0"/>
        <w:overflowPunct w:val="0"/>
        <w:adjustRightInd w:val="0"/>
        <w:contextualSpacing/>
        <w:rPr>
          <w:rFonts w:asciiTheme="minorHAnsi" w:hAnsiTheme="minorHAnsi" w:cstheme="minorHAnsi"/>
          <w:sz w:val="22"/>
          <w:szCs w:val="22"/>
        </w:rPr>
      </w:pPr>
      <w:r w:rsidRPr="00E65AD1">
        <w:rPr>
          <w:rFonts w:asciiTheme="minorHAnsi" w:hAnsiTheme="minorHAnsi" w:cstheme="minorHAnsi"/>
          <w:sz w:val="22"/>
          <w:szCs w:val="22"/>
        </w:rPr>
        <w:t>Policies on Testing and Late Assignments:</w:t>
      </w:r>
    </w:p>
    <w:p w:rsidR="007D7F4C" w:rsidRPr="00E9762B" w:rsidRDefault="007D7F4C" w:rsidP="007D7F4C">
      <w:pPr>
        <w:spacing w:line="240" w:lineRule="auto"/>
        <w:contextualSpacing/>
        <w:rPr>
          <w:rFonts w:cs="Arial"/>
        </w:rPr>
      </w:pPr>
      <w:r w:rsidRPr="00E65AD1">
        <w:rPr>
          <w:rFonts w:cstheme="minorHAnsi"/>
        </w:rPr>
        <w:t>The syllabus notes the dates of tests and due dates of projects. I set these deadlines well in advance so that you should have no problems meeting them. Accordingly, make-up</w:t>
      </w:r>
      <w:r w:rsidRPr="00E9762B">
        <w:rPr>
          <w:rFonts w:cs="Arial"/>
        </w:rPr>
        <w:t xml:space="preserve"> tests will not be provided except in extreme extenuating circumstances, defined at my discretion, </w:t>
      </w:r>
      <w:r w:rsidRPr="009B0E54">
        <w:rPr>
          <w:rFonts w:cs="Arial"/>
        </w:rPr>
        <w:t>and supported with documentation</w:t>
      </w:r>
      <w:r w:rsidRPr="00E9762B">
        <w:rPr>
          <w:rFonts w:cs="Arial"/>
        </w:rPr>
        <w:t xml:space="preserve">. </w:t>
      </w:r>
      <w:r>
        <w:rPr>
          <w:rFonts w:cs="Arial"/>
        </w:rPr>
        <w:t>Late projects will be penalized at a rate of 15% per day for up to three days late, counting weekend days, at which point I will no longer accept the project. Please note that students are not permitted to leave the classroom during exams except in cases where accommodations have been made through the Office of Differing Abilities Services. Moreover, students are not allowed to have cell phones, laptops, iPods, BlackBerrys, or other personal electronic devices on and in view during exams.</w:t>
      </w:r>
    </w:p>
    <w:p w:rsidR="007D7F4C" w:rsidRPr="004069DD" w:rsidRDefault="007D7F4C" w:rsidP="007D7F4C">
      <w:pPr>
        <w:pStyle w:val="Heading1"/>
        <w:widowControl w:val="0"/>
        <w:overflowPunct w:val="0"/>
        <w:adjustRightInd w:val="0"/>
        <w:contextualSpacing/>
        <w:rPr>
          <w:rFonts w:asciiTheme="minorHAnsi" w:hAnsiTheme="minorHAnsi" w:cs="Arial"/>
          <w:sz w:val="22"/>
          <w:szCs w:val="22"/>
        </w:rPr>
      </w:pPr>
      <w:r w:rsidRPr="004069DD">
        <w:rPr>
          <w:rFonts w:asciiTheme="minorHAnsi" w:hAnsiTheme="minorHAnsi" w:cs="Arial"/>
          <w:sz w:val="22"/>
          <w:szCs w:val="22"/>
        </w:rPr>
        <w:t>Attendance and Participation</w:t>
      </w:r>
      <w:r>
        <w:rPr>
          <w:rFonts w:asciiTheme="minorHAnsi" w:hAnsiTheme="minorHAnsi" w:cs="Arial"/>
          <w:sz w:val="22"/>
          <w:szCs w:val="22"/>
        </w:rPr>
        <w:t xml:space="preserve"> Policies</w:t>
      </w:r>
      <w:r w:rsidRPr="004069DD">
        <w:rPr>
          <w:rFonts w:asciiTheme="minorHAnsi" w:hAnsiTheme="minorHAnsi" w:cs="Arial"/>
          <w:sz w:val="22"/>
          <w:szCs w:val="22"/>
        </w:rPr>
        <w:t>:</w:t>
      </w:r>
    </w:p>
    <w:p w:rsidR="007D7F4C" w:rsidRPr="004069DD" w:rsidRDefault="007D7F4C" w:rsidP="007D7F4C">
      <w:pPr>
        <w:widowControl w:val="0"/>
        <w:overflowPunct w:val="0"/>
        <w:adjustRightInd w:val="0"/>
        <w:spacing w:line="240" w:lineRule="auto"/>
        <w:contextualSpacing/>
        <w:rPr>
          <w:rFonts w:cs="Arial"/>
        </w:rPr>
      </w:pPr>
      <w:r w:rsidRPr="004069DD">
        <w:rPr>
          <w:rFonts w:cs="Arial"/>
        </w:rPr>
        <w:t xml:space="preserve">Attendance is expected in accordance with College attendance policy, as explained in full here: </w:t>
      </w:r>
      <w:hyperlink r:id="rId9" w:history="1">
        <w:r w:rsidRPr="004069DD">
          <w:rPr>
            <w:rStyle w:val="Hyperlink"/>
          </w:rPr>
          <w:t>http://www.tcnj.edu/~recreg/policies/attendance.html</w:t>
        </w:r>
      </w:hyperlink>
      <w:r w:rsidRPr="004069DD">
        <w:rPr>
          <w:rFonts w:cs="Arial"/>
        </w:rPr>
        <w:t xml:space="preserve">. </w:t>
      </w:r>
    </w:p>
    <w:p w:rsidR="007D7F4C" w:rsidRPr="004069DD" w:rsidRDefault="007D7F4C" w:rsidP="007D7F4C">
      <w:pPr>
        <w:widowControl w:val="0"/>
        <w:overflowPunct w:val="0"/>
        <w:adjustRightInd w:val="0"/>
        <w:spacing w:line="240" w:lineRule="auto"/>
        <w:contextualSpacing/>
        <w:rPr>
          <w:rFonts w:cs="Arial"/>
        </w:rPr>
      </w:pPr>
      <w:r>
        <w:rPr>
          <w:rFonts w:cs="Arial"/>
        </w:rPr>
        <w:t xml:space="preserve">Participation is graded as explained above. </w:t>
      </w:r>
      <w:r w:rsidRPr="004069DD">
        <w:rPr>
          <w:rFonts w:cs="Arial"/>
        </w:rPr>
        <w:t xml:space="preserve">If you do miss class, it is your responsibility to find out what you missed.  </w:t>
      </w:r>
    </w:p>
    <w:p w:rsidR="007D7F4C" w:rsidRPr="00E65AD1" w:rsidRDefault="007D7F4C" w:rsidP="007D7F4C">
      <w:pPr>
        <w:widowControl w:val="0"/>
        <w:overflowPunct w:val="0"/>
        <w:adjustRightInd w:val="0"/>
        <w:spacing w:line="240" w:lineRule="auto"/>
        <w:contextualSpacing/>
        <w:rPr>
          <w:rFonts w:cstheme="minorHAnsi"/>
        </w:rPr>
      </w:pPr>
    </w:p>
    <w:p w:rsidR="007D7F4C" w:rsidRPr="00E65AD1" w:rsidRDefault="007D7F4C" w:rsidP="007D7F4C">
      <w:pPr>
        <w:widowControl w:val="0"/>
        <w:overflowPunct w:val="0"/>
        <w:adjustRightInd w:val="0"/>
        <w:spacing w:line="240" w:lineRule="auto"/>
        <w:contextualSpacing/>
        <w:rPr>
          <w:rFonts w:cstheme="minorHAnsi"/>
          <w:b/>
        </w:rPr>
      </w:pPr>
      <w:r w:rsidRPr="00E65AD1">
        <w:rPr>
          <w:rFonts w:cstheme="minorHAnsi"/>
          <w:b/>
        </w:rPr>
        <w:t>Academic Integrity and Student Conduct</w:t>
      </w:r>
      <w:r>
        <w:rPr>
          <w:rFonts w:cstheme="minorHAnsi"/>
          <w:b/>
        </w:rPr>
        <w:t xml:space="preserve"> Policies</w:t>
      </w:r>
      <w:r w:rsidRPr="00E65AD1">
        <w:rPr>
          <w:rFonts w:cstheme="minorHAnsi"/>
          <w:b/>
        </w:rPr>
        <w:t>:</w:t>
      </w:r>
    </w:p>
    <w:p w:rsidR="007D7F4C" w:rsidRPr="00E65AD1" w:rsidRDefault="007D7F4C" w:rsidP="007D7F4C">
      <w:pPr>
        <w:widowControl w:val="0"/>
        <w:overflowPunct w:val="0"/>
        <w:adjustRightInd w:val="0"/>
        <w:spacing w:line="240" w:lineRule="auto"/>
        <w:contextualSpacing/>
        <w:rPr>
          <w:rFonts w:cstheme="minorHAnsi"/>
        </w:rPr>
      </w:pPr>
      <w:r w:rsidRPr="00E65AD1">
        <w:rPr>
          <w:rFonts w:cstheme="minorHAnsi"/>
        </w:rPr>
        <w:t xml:space="preserve">Cheating and plagiarism are serious violations of the College’s Academic Integrity Policy and will be dealt with accordingly. It is your responsibility to familiarize yourself with this policy, available in full here: </w:t>
      </w:r>
      <w:hyperlink r:id="rId10" w:history="1">
        <w:r w:rsidRPr="00E65AD1">
          <w:rPr>
            <w:rStyle w:val="Hyperlink"/>
            <w:rFonts w:cstheme="minorHAnsi"/>
          </w:rPr>
          <w:t>http://www.tcnj.edu/~academic/policy/integrity.html</w:t>
        </w:r>
      </w:hyperlink>
    </w:p>
    <w:p w:rsidR="007D7F4C" w:rsidRPr="00E65AD1" w:rsidRDefault="007D7F4C" w:rsidP="007D7F4C">
      <w:pPr>
        <w:widowControl w:val="0"/>
        <w:overflowPunct w:val="0"/>
        <w:adjustRightInd w:val="0"/>
        <w:spacing w:line="240" w:lineRule="auto"/>
        <w:contextualSpacing/>
        <w:rPr>
          <w:rFonts w:cstheme="minorHAnsi"/>
        </w:rPr>
      </w:pPr>
      <w:r w:rsidRPr="00E65AD1">
        <w:rPr>
          <w:rFonts w:cstheme="minorHAnsi"/>
        </w:rPr>
        <w:t>I will refer any violations to the Academic Integrity Officer for the School of Humanities &amp; Social Sciences, Dr. James Taylor (Philosophy), for review. I also expect that you understand and agree to behave in a manner consistent with the TCNJ Code of Student Conduct, particularly concerning the dignity with which you should treat your classmates:</w:t>
      </w:r>
    </w:p>
    <w:p w:rsidR="007D7F4C" w:rsidRPr="00E65AD1" w:rsidRDefault="003A4BB3" w:rsidP="007D7F4C">
      <w:pPr>
        <w:widowControl w:val="0"/>
        <w:overflowPunct w:val="0"/>
        <w:adjustRightInd w:val="0"/>
        <w:spacing w:line="240" w:lineRule="auto"/>
        <w:contextualSpacing/>
        <w:rPr>
          <w:rFonts w:cstheme="minorHAnsi"/>
        </w:rPr>
      </w:pPr>
      <w:hyperlink r:id="rId11" w:history="1">
        <w:r w:rsidR="007D7F4C" w:rsidRPr="00E65AD1">
          <w:rPr>
            <w:rStyle w:val="Hyperlink"/>
            <w:rFonts w:cstheme="minorHAnsi"/>
          </w:rPr>
          <w:t>http://conduct.pages.tcnj.edu/</w:t>
        </w:r>
      </w:hyperlink>
    </w:p>
    <w:p w:rsidR="007D7F4C" w:rsidRPr="00E65AD1" w:rsidRDefault="007D7F4C" w:rsidP="007D7F4C">
      <w:pPr>
        <w:widowControl w:val="0"/>
        <w:overflowPunct w:val="0"/>
        <w:adjustRightInd w:val="0"/>
        <w:spacing w:line="240" w:lineRule="auto"/>
        <w:contextualSpacing/>
        <w:rPr>
          <w:rFonts w:cstheme="minorHAnsi"/>
          <w:b/>
        </w:rPr>
      </w:pPr>
      <w:r w:rsidRPr="00E65AD1">
        <w:rPr>
          <w:rFonts w:cstheme="minorHAnsi"/>
        </w:rPr>
        <w:t>In the interest of promoting academic integrity, all work submitted to SOCS will be subjected to a plagiarism scan. Please note that the result of this scan is that your work will be stored anonymously within the Turn-It-In system to be compared against future submissions made by other students.</w:t>
      </w:r>
    </w:p>
    <w:p w:rsidR="00184DAD" w:rsidRPr="0000728C" w:rsidRDefault="00184DAD" w:rsidP="007D7F4C">
      <w:pPr>
        <w:spacing w:line="240" w:lineRule="auto"/>
        <w:contextualSpacing/>
      </w:pPr>
    </w:p>
    <w:p w:rsidR="00B23ED7" w:rsidRDefault="00B23ED7" w:rsidP="00B23ED7">
      <w:pPr>
        <w:spacing w:line="240" w:lineRule="auto"/>
        <w:contextualSpacing/>
        <w:rPr>
          <w:rFonts w:cstheme="minorHAnsi"/>
          <w:b/>
        </w:rPr>
      </w:pPr>
    </w:p>
    <w:p w:rsidR="00B23ED7" w:rsidRDefault="00B23ED7" w:rsidP="00B23ED7">
      <w:pPr>
        <w:spacing w:line="240" w:lineRule="auto"/>
        <w:contextualSpacing/>
        <w:rPr>
          <w:rFonts w:cstheme="minorHAnsi"/>
          <w:b/>
        </w:rPr>
      </w:pPr>
    </w:p>
    <w:p w:rsidR="00B23ED7" w:rsidRPr="00E65AD1" w:rsidRDefault="00B23ED7" w:rsidP="00B23ED7">
      <w:pPr>
        <w:spacing w:line="240" w:lineRule="auto"/>
        <w:contextualSpacing/>
        <w:rPr>
          <w:rFonts w:cstheme="minorHAnsi"/>
          <w:b/>
        </w:rPr>
      </w:pPr>
      <w:r w:rsidRPr="00E65AD1">
        <w:rPr>
          <w:rFonts w:cstheme="minorHAnsi"/>
          <w:b/>
        </w:rPr>
        <w:lastRenderedPageBreak/>
        <w:t>Disability Policy:</w:t>
      </w:r>
    </w:p>
    <w:p w:rsidR="00B23ED7" w:rsidRDefault="00B23ED7" w:rsidP="00B23ED7">
      <w:pPr>
        <w:spacing w:line="240" w:lineRule="auto"/>
        <w:contextualSpacing/>
      </w:pPr>
      <w:r w:rsidRPr="00184DAD">
        <w:rPr>
          <w:rStyle w:val="Strong"/>
          <w:b w:val="0"/>
        </w:rPr>
        <w:t xml:space="preserve">Any student who has a documented disability and is in need of academic accommodations should notify </w:t>
      </w:r>
      <w:r>
        <w:rPr>
          <w:rStyle w:val="Strong"/>
          <w:b w:val="0"/>
        </w:rPr>
        <w:t>me during the first week of classes</w:t>
      </w:r>
      <w:r w:rsidRPr="00184DAD">
        <w:rPr>
          <w:rStyle w:val="Strong"/>
          <w:b w:val="0"/>
        </w:rPr>
        <w:t xml:space="preserve"> and contact the Office of Differing Abilities Services (609-771-2571). Accommodations are individualized and in accordance with Section 504 of the Rehabilitation Act of 1973 and the Americans with Disabilities Act of 1992.</w:t>
      </w:r>
      <w:r>
        <w:rPr>
          <w:rStyle w:val="Strong"/>
          <w:b w:val="0"/>
        </w:rPr>
        <w:t xml:space="preserve"> See here for more information: </w:t>
      </w:r>
      <w:hyperlink r:id="rId12" w:history="1">
        <w:r w:rsidRPr="00E21D63">
          <w:rPr>
            <w:rStyle w:val="Hyperlink"/>
          </w:rPr>
          <w:t>http://differingabilities.pages.tcnj.edu/</w:t>
        </w:r>
      </w:hyperlink>
    </w:p>
    <w:p w:rsidR="00B23ED7" w:rsidRDefault="00B23ED7" w:rsidP="007D7F4C">
      <w:pPr>
        <w:spacing w:line="240" w:lineRule="auto"/>
        <w:contextualSpacing/>
        <w:rPr>
          <w:b/>
        </w:rPr>
      </w:pPr>
    </w:p>
    <w:p w:rsidR="008F62E1" w:rsidRDefault="008F62E1" w:rsidP="007D7F4C">
      <w:pPr>
        <w:spacing w:line="240" w:lineRule="auto"/>
        <w:contextualSpacing/>
        <w:rPr>
          <w:b/>
        </w:rPr>
      </w:pPr>
      <w:r>
        <w:rPr>
          <w:b/>
        </w:rPr>
        <w:t>T</w:t>
      </w:r>
      <w:r w:rsidR="0032599B" w:rsidRPr="0000728C">
        <w:rPr>
          <w:b/>
        </w:rPr>
        <w:t>entative Schedule</w:t>
      </w:r>
      <w:r w:rsidR="0000728C">
        <w:rPr>
          <w:b/>
        </w:rPr>
        <w:t>:</w:t>
      </w:r>
    </w:p>
    <w:p w:rsidR="0000728C" w:rsidRDefault="0000728C" w:rsidP="007D7F4C">
      <w:pPr>
        <w:spacing w:line="240" w:lineRule="auto"/>
        <w:contextualSpacing/>
      </w:pPr>
      <w:r>
        <w:rPr>
          <w:rFonts w:cs="Arial"/>
        </w:rPr>
        <w:t>The s</w:t>
      </w:r>
      <w:r w:rsidRPr="00BF6CB5">
        <w:rPr>
          <w:rFonts w:cs="Arial"/>
        </w:rPr>
        <w:t>che</w:t>
      </w:r>
      <w:r>
        <w:rPr>
          <w:rFonts w:cs="Arial"/>
        </w:rPr>
        <w:t>dule of topics and due dates is</w:t>
      </w:r>
      <w:r w:rsidRPr="00BF6CB5">
        <w:rPr>
          <w:rFonts w:cs="Arial"/>
        </w:rPr>
        <w:t xml:space="preserve"> subject to change. Any changes from this schedule will be announced in class and via email through SOCS. </w:t>
      </w:r>
      <w:r w:rsidR="00732CEA">
        <w:rPr>
          <w:rFonts w:cs="Arial"/>
        </w:rPr>
        <w:t>Any items due must be submitted by the start of class.</w:t>
      </w:r>
    </w:p>
    <w:p w:rsidR="007F134D" w:rsidRPr="0000728C" w:rsidRDefault="007F134D" w:rsidP="0000728C">
      <w:pPr>
        <w:spacing w:line="240" w:lineRule="auto"/>
        <w:contextualSpacing/>
      </w:pPr>
    </w:p>
    <w:tbl>
      <w:tblPr>
        <w:tblStyle w:val="TableGrid"/>
        <w:tblW w:w="0" w:type="auto"/>
        <w:tblLook w:val="04A0" w:firstRow="1" w:lastRow="0" w:firstColumn="1" w:lastColumn="0" w:noHBand="0" w:noVBand="1"/>
      </w:tblPr>
      <w:tblGrid>
        <w:gridCol w:w="738"/>
        <w:gridCol w:w="450"/>
        <w:gridCol w:w="7290"/>
        <w:gridCol w:w="1098"/>
      </w:tblGrid>
      <w:tr w:rsidR="009F6634" w:rsidTr="00BE02C6">
        <w:tc>
          <w:tcPr>
            <w:tcW w:w="1188" w:type="dxa"/>
            <w:gridSpan w:val="2"/>
            <w:tcBorders>
              <w:bottom w:val="single" w:sz="4" w:space="0" w:color="000000" w:themeColor="text1"/>
            </w:tcBorders>
            <w:shd w:val="clear" w:color="auto" w:fill="BFBFBF" w:themeFill="background1" w:themeFillShade="BF"/>
          </w:tcPr>
          <w:p w:rsidR="009F6634" w:rsidRPr="00B762C5" w:rsidRDefault="009F6634" w:rsidP="00D11DFF">
            <w:pPr>
              <w:contextualSpacing/>
              <w:jc w:val="center"/>
              <w:rPr>
                <w:b/>
              </w:rPr>
            </w:pPr>
            <w:r w:rsidRPr="00B762C5">
              <w:rPr>
                <w:b/>
              </w:rPr>
              <w:t>Date</w:t>
            </w:r>
          </w:p>
        </w:tc>
        <w:tc>
          <w:tcPr>
            <w:tcW w:w="7290" w:type="dxa"/>
            <w:shd w:val="clear" w:color="auto" w:fill="BFBFBF" w:themeFill="background1" w:themeFillShade="BF"/>
          </w:tcPr>
          <w:p w:rsidR="009F6634" w:rsidRPr="00B762C5" w:rsidRDefault="009F6634" w:rsidP="00D11DFF">
            <w:pPr>
              <w:contextualSpacing/>
              <w:jc w:val="center"/>
              <w:rPr>
                <w:b/>
              </w:rPr>
            </w:pPr>
            <w:r w:rsidRPr="00B762C5">
              <w:rPr>
                <w:b/>
              </w:rPr>
              <w:t>Topic &amp; Assigned Reading</w:t>
            </w:r>
          </w:p>
        </w:tc>
        <w:tc>
          <w:tcPr>
            <w:tcW w:w="1098" w:type="dxa"/>
            <w:shd w:val="clear" w:color="auto" w:fill="BFBFBF" w:themeFill="background1" w:themeFillShade="BF"/>
          </w:tcPr>
          <w:p w:rsidR="009F6634" w:rsidRPr="00B762C5" w:rsidRDefault="009F6634" w:rsidP="00D11DFF">
            <w:pPr>
              <w:contextualSpacing/>
              <w:rPr>
                <w:b/>
              </w:rPr>
            </w:pPr>
            <w:r w:rsidRPr="00B762C5">
              <w:rPr>
                <w:b/>
              </w:rPr>
              <w:t>Items Due / Events</w:t>
            </w:r>
          </w:p>
        </w:tc>
      </w:tr>
      <w:tr w:rsidR="007F134D" w:rsidTr="00BE02C6">
        <w:tc>
          <w:tcPr>
            <w:tcW w:w="738" w:type="dxa"/>
            <w:tcBorders>
              <w:bottom w:val="single" w:sz="4" w:space="0" w:color="000000" w:themeColor="text1"/>
              <w:right w:val="nil"/>
            </w:tcBorders>
          </w:tcPr>
          <w:p w:rsidR="007F134D" w:rsidRPr="00BE02C6" w:rsidRDefault="000F6C07" w:rsidP="00D11DFF">
            <w:pPr>
              <w:contextualSpacing/>
              <w:rPr>
                <w:b/>
              </w:rPr>
            </w:pPr>
            <w:r>
              <w:rPr>
                <w:b/>
              </w:rPr>
              <w:t>Aug</w:t>
            </w:r>
          </w:p>
        </w:tc>
        <w:tc>
          <w:tcPr>
            <w:tcW w:w="450" w:type="dxa"/>
            <w:tcBorders>
              <w:left w:val="nil"/>
              <w:bottom w:val="single" w:sz="4" w:space="0" w:color="000000" w:themeColor="text1"/>
            </w:tcBorders>
          </w:tcPr>
          <w:p w:rsidR="007F134D" w:rsidRDefault="000F6C07" w:rsidP="00D11DFF">
            <w:pPr>
              <w:contextualSpacing/>
              <w:jc w:val="center"/>
            </w:pPr>
            <w:r>
              <w:t>29</w:t>
            </w:r>
          </w:p>
        </w:tc>
        <w:tc>
          <w:tcPr>
            <w:tcW w:w="7290" w:type="dxa"/>
          </w:tcPr>
          <w:p w:rsidR="007F134D" w:rsidRPr="00804E4B" w:rsidRDefault="00B161C6" w:rsidP="00D11DFF">
            <w:pPr>
              <w:contextualSpacing/>
              <w:rPr>
                <w:b/>
                <w:i/>
              </w:rPr>
            </w:pPr>
            <w:r>
              <w:rPr>
                <w:b/>
                <w:i/>
              </w:rPr>
              <w:t>Introduction &amp; Legal Context of Industrial Psychology</w:t>
            </w:r>
          </w:p>
          <w:p w:rsidR="00F80652" w:rsidRPr="000F56B3" w:rsidRDefault="000F56B3" w:rsidP="00C86A95">
            <w:pPr>
              <w:ind w:left="522" w:hanging="522"/>
              <w:contextualSpacing/>
            </w:pPr>
            <w:r>
              <w:t xml:space="preserve">Hagen, W.W. II. (2011). Dissection and analysis of the recent cases on employment discrimination under Title VII of the Civil Rights Act of 1964. </w:t>
            </w:r>
            <w:r>
              <w:rPr>
                <w:i/>
              </w:rPr>
              <w:t xml:space="preserve">Employee Responsibility and Rights Journal, 23, </w:t>
            </w:r>
            <w:r>
              <w:t>171-186.</w:t>
            </w:r>
          </w:p>
          <w:p w:rsidR="001D5F9D" w:rsidRPr="0000728C" w:rsidRDefault="001D5F9D" w:rsidP="00C86A95">
            <w:pPr>
              <w:ind w:left="522" w:hanging="522"/>
              <w:contextualSpacing/>
              <w:rPr>
                <w:i/>
              </w:rPr>
            </w:pPr>
            <w:proofErr w:type="spellStart"/>
            <w:r>
              <w:t>Tobenkin</w:t>
            </w:r>
            <w:proofErr w:type="spellEnd"/>
            <w:r>
              <w:t xml:space="preserve">, D. (2008, August). Not Norwegian enough: Is it ever OK to discriminate? </w:t>
            </w:r>
            <w:r>
              <w:rPr>
                <w:i/>
              </w:rPr>
              <w:t>HR Magazine, 53</w:t>
            </w:r>
            <w:r>
              <w:t xml:space="preserve">(8), 91-95.  </w:t>
            </w:r>
          </w:p>
          <w:p w:rsidR="001F1D9B" w:rsidRPr="001F1D9B" w:rsidRDefault="001F1D9B" w:rsidP="00C86A95">
            <w:pPr>
              <w:ind w:left="522" w:hanging="522"/>
              <w:contextualSpacing/>
            </w:pPr>
            <w:r>
              <w:t xml:space="preserve">King, E.B., &amp; Cortina, J.M. (2010). The social and economic imperative of lesbian, gay, bisexual, and transgendered organizational policies. </w:t>
            </w:r>
            <w:r>
              <w:rPr>
                <w:i/>
              </w:rPr>
              <w:t xml:space="preserve">Industrial and Organizational Psychology: Perspectives on Science and Practice, 3, </w:t>
            </w:r>
            <w:r>
              <w:t>69-78.</w:t>
            </w:r>
          </w:p>
        </w:tc>
        <w:tc>
          <w:tcPr>
            <w:tcW w:w="1098" w:type="dxa"/>
          </w:tcPr>
          <w:p w:rsidR="007F134D" w:rsidRDefault="007F134D" w:rsidP="00D11DFF">
            <w:pPr>
              <w:contextualSpacing/>
            </w:pPr>
          </w:p>
        </w:tc>
      </w:tr>
      <w:tr w:rsidR="007F134D" w:rsidTr="00BE02C6">
        <w:tc>
          <w:tcPr>
            <w:tcW w:w="738" w:type="dxa"/>
            <w:tcBorders>
              <w:bottom w:val="single" w:sz="4" w:space="0" w:color="000000" w:themeColor="text1"/>
              <w:right w:val="nil"/>
            </w:tcBorders>
          </w:tcPr>
          <w:p w:rsidR="007F134D" w:rsidRPr="000F6C07" w:rsidRDefault="000F6C07" w:rsidP="00D11DFF">
            <w:pPr>
              <w:contextualSpacing/>
              <w:rPr>
                <w:b/>
              </w:rPr>
            </w:pPr>
            <w:r w:rsidRPr="000F6C07">
              <w:rPr>
                <w:b/>
              </w:rPr>
              <w:t>Sept</w:t>
            </w:r>
          </w:p>
        </w:tc>
        <w:tc>
          <w:tcPr>
            <w:tcW w:w="450" w:type="dxa"/>
            <w:tcBorders>
              <w:left w:val="nil"/>
              <w:bottom w:val="single" w:sz="4" w:space="0" w:color="000000" w:themeColor="text1"/>
            </w:tcBorders>
          </w:tcPr>
          <w:p w:rsidR="007F134D" w:rsidRDefault="000F6C07" w:rsidP="00D11DFF">
            <w:pPr>
              <w:contextualSpacing/>
              <w:jc w:val="center"/>
            </w:pPr>
            <w:r>
              <w:t>5</w:t>
            </w:r>
          </w:p>
        </w:tc>
        <w:tc>
          <w:tcPr>
            <w:tcW w:w="7290" w:type="dxa"/>
          </w:tcPr>
          <w:p w:rsidR="003B3814" w:rsidRPr="00F6747D" w:rsidRDefault="003B3814" w:rsidP="003B3814">
            <w:pPr>
              <w:contextualSpacing/>
              <w:rPr>
                <w:b/>
                <w:i/>
              </w:rPr>
            </w:pPr>
            <w:r w:rsidRPr="00F6747D">
              <w:rPr>
                <w:b/>
                <w:i/>
              </w:rPr>
              <w:t>Job Analysis</w:t>
            </w:r>
            <w:r>
              <w:rPr>
                <w:b/>
                <w:i/>
              </w:rPr>
              <w:t xml:space="preserve"> &amp; Competency Modeling</w:t>
            </w:r>
          </w:p>
          <w:p w:rsidR="003B3814" w:rsidRPr="00D21625" w:rsidRDefault="003B3814" w:rsidP="003B3814">
            <w:pPr>
              <w:ind w:left="522" w:hanging="522"/>
              <w:contextualSpacing/>
            </w:pPr>
            <w:r w:rsidRPr="00BA491D">
              <w:t>Levy</w:t>
            </w:r>
            <w:r>
              <w:t xml:space="preserve">, P.E. (2009). </w:t>
            </w:r>
            <w:r>
              <w:rPr>
                <w:i/>
              </w:rPr>
              <w:t xml:space="preserve">Industrial/organizational psychology: Understanding the workplace, </w:t>
            </w:r>
            <w:r>
              <w:t>3</w:t>
            </w:r>
            <w:r w:rsidRPr="00D21625">
              <w:rPr>
                <w:vertAlign w:val="superscript"/>
              </w:rPr>
              <w:t>rd</w:t>
            </w:r>
            <w:r>
              <w:t xml:space="preserve"> ed. (Chapter 3). New York, NY: Worth Publishers.</w:t>
            </w:r>
          </w:p>
          <w:p w:rsidR="005120C6" w:rsidRPr="005120C6" w:rsidRDefault="005120C6" w:rsidP="005120C6">
            <w:pPr>
              <w:ind w:left="522" w:hanging="522"/>
              <w:contextualSpacing/>
            </w:pPr>
            <w:r>
              <w:t xml:space="preserve">Bowen, C.-C. (2003). A case study of a job analysis. </w:t>
            </w:r>
            <w:r>
              <w:rPr>
                <w:i/>
              </w:rPr>
              <w:t xml:space="preserve">Journal of Psychological Practice, 8, </w:t>
            </w:r>
            <w:r>
              <w:t>46-55.</w:t>
            </w:r>
          </w:p>
          <w:p w:rsidR="00863308" w:rsidRPr="00101746" w:rsidRDefault="003B3814" w:rsidP="005120C6">
            <w:pPr>
              <w:ind w:left="522" w:hanging="522"/>
              <w:contextualSpacing/>
            </w:pPr>
            <w:r w:rsidRPr="00C86A95">
              <w:t>Sanchez</w:t>
            </w:r>
            <w:r>
              <w:t xml:space="preserve">, J.I., &amp; Levine, E.L. (2009). What is (or should be) the difference between competency modeling and traditional job analysis? </w:t>
            </w:r>
            <w:r>
              <w:rPr>
                <w:i/>
              </w:rPr>
              <w:t xml:space="preserve">Human Resource Management Review, 19, </w:t>
            </w:r>
            <w:r>
              <w:t>53-63.</w:t>
            </w:r>
          </w:p>
        </w:tc>
        <w:tc>
          <w:tcPr>
            <w:tcW w:w="1098" w:type="dxa"/>
          </w:tcPr>
          <w:p w:rsidR="007F134D" w:rsidRDefault="007F134D" w:rsidP="00D11DFF">
            <w:pPr>
              <w:contextualSpacing/>
            </w:pPr>
          </w:p>
        </w:tc>
      </w:tr>
      <w:tr w:rsidR="007F134D" w:rsidTr="00BE02C6">
        <w:tc>
          <w:tcPr>
            <w:tcW w:w="738" w:type="dxa"/>
            <w:tcBorders>
              <w:bottom w:val="single" w:sz="4" w:space="0" w:color="000000" w:themeColor="text1"/>
              <w:right w:val="nil"/>
            </w:tcBorders>
          </w:tcPr>
          <w:p w:rsidR="007F134D" w:rsidRDefault="007F134D" w:rsidP="00D11DFF">
            <w:pPr>
              <w:contextualSpacing/>
            </w:pPr>
          </w:p>
        </w:tc>
        <w:tc>
          <w:tcPr>
            <w:tcW w:w="450" w:type="dxa"/>
            <w:tcBorders>
              <w:left w:val="nil"/>
              <w:bottom w:val="single" w:sz="4" w:space="0" w:color="000000" w:themeColor="text1"/>
            </w:tcBorders>
          </w:tcPr>
          <w:p w:rsidR="007F134D" w:rsidRDefault="00F73568" w:rsidP="000F6C07">
            <w:pPr>
              <w:contextualSpacing/>
              <w:jc w:val="center"/>
            </w:pPr>
            <w:r>
              <w:t>1</w:t>
            </w:r>
            <w:r w:rsidR="000F6C07">
              <w:t>2</w:t>
            </w:r>
          </w:p>
        </w:tc>
        <w:tc>
          <w:tcPr>
            <w:tcW w:w="7290" w:type="dxa"/>
          </w:tcPr>
          <w:p w:rsidR="003B3814" w:rsidRPr="00804E4B" w:rsidRDefault="003B3814" w:rsidP="003B3814">
            <w:pPr>
              <w:contextualSpacing/>
              <w:rPr>
                <w:b/>
                <w:i/>
              </w:rPr>
            </w:pPr>
            <w:r w:rsidRPr="00804E4B">
              <w:rPr>
                <w:b/>
                <w:i/>
              </w:rPr>
              <w:t>Job Evaluation &amp; Compensation</w:t>
            </w:r>
          </w:p>
          <w:p w:rsidR="003B3814" w:rsidRPr="00042F45" w:rsidRDefault="00042F45" w:rsidP="003B3814">
            <w:pPr>
              <w:ind w:left="522" w:hanging="522"/>
              <w:contextualSpacing/>
            </w:pPr>
            <w:proofErr w:type="spellStart"/>
            <w:r>
              <w:t>Kilgour</w:t>
            </w:r>
            <w:proofErr w:type="spellEnd"/>
            <w:r>
              <w:t xml:space="preserve">, J.G. (2008). Job evaluation revisited: The point-factor method. </w:t>
            </w:r>
            <w:r>
              <w:rPr>
                <w:i/>
              </w:rPr>
              <w:t xml:space="preserve">Compensation &amp; Benefits Review, 40, </w:t>
            </w:r>
            <w:r>
              <w:t>37-46.</w:t>
            </w:r>
          </w:p>
          <w:p w:rsidR="003B3814" w:rsidRPr="003B3814" w:rsidRDefault="003B3814" w:rsidP="003B3814">
            <w:pPr>
              <w:ind w:left="522" w:hanging="522"/>
              <w:contextualSpacing/>
            </w:pPr>
            <w:r w:rsidRPr="003B3814">
              <w:t xml:space="preserve">Dillon, K. (2009, September). The coming battle over executive pay.  </w:t>
            </w:r>
            <w:r w:rsidRPr="003B3814">
              <w:rPr>
                <w:i/>
              </w:rPr>
              <w:t>Harvard Business Review, 87</w:t>
            </w:r>
            <w:r w:rsidRPr="003B3814">
              <w:t>(9)</w:t>
            </w:r>
            <w:r w:rsidRPr="003B3814">
              <w:rPr>
                <w:i/>
              </w:rPr>
              <w:t xml:space="preserve">, </w:t>
            </w:r>
            <w:r w:rsidRPr="003B3814">
              <w:t>96-103.</w:t>
            </w:r>
          </w:p>
          <w:p w:rsidR="00C86A95" w:rsidRDefault="003B3814" w:rsidP="003B3814">
            <w:pPr>
              <w:pStyle w:val="Default"/>
              <w:ind w:left="522" w:hanging="522"/>
            </w:pPr>
            <w:proofErr w:type="spellStart"/>
            <w:r w:rsidRPr="003B3814">
              <w:rPr>
                <w:sz w:val="22"/>
                <w:szCs w:val="22"/>
              </w:rPr>
              <w:t>Lavy</w:t>
            </w:r>
            <w:proofErr w:type="spellEnd"/>
            <w:r w:rsidRPr="003B3814">
              <w:rPr>
                <w:sz w:val="22"/>
                <w:szCs w:val="22"/>
              </w:rPr>
              <w:t xml:space="preserve">, V. (2007). Using performance-based pay to improve the quality of teachers. </w:t>
            </w:r>
            <w:r w:rsidRPr="003B3814">
              <w:rPr>
                <w:i/>
                <w:sz w:val="22"/>
                <w:szCs w:val="22"/>
              </w:rPr>
              <w:t xml:space="preserve">The Future of Children, 17, </w:t>
            </w:r>
            <w:r w:rsidRPr="003B3814">
              <w:rPr>
                <w:sz w:val="22"/>
                <w:szCs w:val="22"/>
              </w:rPr>
              <w:t>87-109.</w:t>
            </w:r>
            <w:r w:rsidR="00F11FD1">
              <w:rPr>
                <w:sz w:val="22"/>
                <w:szCs w:val="22"/>
              </w:rPr>
              <w:t xml:space="preserve"> </w:t>
            </w:r>
          </w:p>
        </w:tc>
        <w:tc>
          <w:tcPr>
            <w:tcW w:w="1098" w:type="dxa"/>
          </w:tcPr>
          <w:p w:rsidR="007F134D" w:rsidRDefault="007F134D" w:rsidP="00D11DFF">
            <w:pPr>
              <w:contextualSpacing/>
            </w:pPr>
          </w:p>
        </w:tc>
      </w:tr>
      <w:tr w:rsidR="003F1C67" w:rsidTr="00550F0D">
        <w:tc>
          <w:tcPr>
            <w:tcW w:w="738" w:type="dxa"/>
            <w:tcBorders>
              <w:bottom w:val="single" w:sz="4" w:space="0" w:color="000000" w:themeColor="text1"/>
              <w:right w:val="nil"/>
            </w:tcBorders>
          </w:tcPr>
          <w:p w:rsidR="003F1C67" w:rsidRDefault="003F1C67" w:rsidP="00D11DFF">
            <w:pPr>
              <w:contextualSpacing/>
            </w:pPr>
          </w:p>
        </w:tc>
        <w:tc>
          <w:tcPr>
            <w:tcW w:w="450" w:type="dxa"/>
            <w:tcBorders>
              <w:left w:val="nil"/>
              <w:bottom w:val="single" w:sz="4" w:space="0" w:color="000000" w:themeColor="text1"/>
            </w:tcBorders>
          </w:tcPr>
          <w:p w:rsidR="003F1C67" w:rsidRDefault="000F6C07" w:rsidP="00D11DFF">
            <w:pPr>
              <w:contextualSpacing/>
              <w:jc w:val="center"/>
            </w:pPr>
            <w:r>
              <w:t>19</w:t>
            </w:r>
          </w:p>
        </w:tc>
        <w:tc>
          <w:tcPr>
            <w:tcW w:w="7290" w:type="dxa"/>
          </w:tcPr>
          <w:p w:rsidR="00C91542" w:rsidRPr="00976DBA" w:rsidRDefault="00042F45" w:rsidP="00C91542">
            <w:pPr>
              <w:contextualSpacing/>
              <w:rPr>
                <w:b/>
                <w:i/>
              </w:rPr>
            </w:pPr>
            <w:r>
              <w:rPr>
                <w:b/>
                <w:i/>
              </w:rPr>
              <w:t>Job Design &amp; Employee Well-Being</w:t>
            </w:r>
          </w:p>
          <w:p w:rsidR="00C91542" w:rsidRPr="00042F45" w:rsidRDefault="00042F45" w:rsidP="00C91542">
            <w:pPr>
              <w:ind w:left="522" w:hanging="522"/>
              <w:contextualSpacing/>
            </w:pPr>
            <w:r>
              <w:t xml:space="preserve">Grant, A.M., Christianson, M.K., &amp; Price, R.H. (2007). Happiness, health, or relationships? Managerial practices and employee well-being tradeoffs. </w:t>
            </w:r>
            <w:r>
              <w:rPr>
                <w:i/>
              </w:rPr>
              <w:t xml:space="preserve">Academy of Management Perspectives, 21, </w:t>
            </w:r>
            <w:r>
              <w:t>51-63.</w:t>
            </w:r>
          </w:p>
          <w:p w:rsidR="00C91542" w:rsidRPr="000F389E" w:rsidRDefault="00C91542" w:rsidP="00C91542">
            <w:pPr>
              <w:ind w:left="522" w:hanging="522"/>
              <w:contextualSpacing/>
            </w:pPr>
            <w:proofErr w:type="spellStart"/>
            <w:r>
              <w:t>Jossi</w:t>
            </w:r>
            <w:proofErr w:type="spellEnd"/>
            <w:r>
              <w:t xml:space="preserve">, F. (2007, June). Clocking out. </w:t>
            </w:r>
            <w:r>
              <w:rPr>
                <w:i/>
              </w:rPr>
              <w:t>HR Magazine, 52</w:t>
            </w:r>
            <w:r>
              <w:t>(6), 46-50.</w:t>
            </w:r>
          </w:p>
          <w:p w:rsidR="00946AD8" w:rsidRPr="005D6B64" w:rsidRDefault="00C91542" w:rsidP="00C91542">
            <w:pPr>
              <w:ind w:left="522" w:hanging="522"/>
              <w:contextualSpacing/>
            </w:pPr>
            <w:proofErr w:type="spellStart"/>
            <w:r>
              <w:t>Kossek</w:t>
            </w:r>
            <w:proofErr w:type="spellEnd"/>
            <w:r>
              <w:t xml:space="preserve">, E.E., </w:t>
            </w:r>
            <w:proofErr w:type="spellStart"/>
            <w:r>
              <w:t>Baltes</w:t>
            </w:r>
            <w:proofErr w:type="spellEnd"/>
            <w:r>
              <w:t xml:space="preserve">, B.B., &amp; Matthews, R.A. (2011). How work-family research can finally have an impact in organizations. </w:t>
            </w:r>
            <w:r>
              <w:rPr>
                <w:i/>
              </w:rPr>
              <w:t xml:space="preserve">Industrial and Organizational Psychology: Perspectives on Science and Practice, 4, </w:t>
            </w:r>
            <w:r>
              <w:t>352-369.</w:t>
            </w:r>
          </w:p>
        </w:tc>
        <w:tc>
          <w:tcPr>
            <w:tcW w:w="1098" w:type="dxa"/>
            <w:vAlign w:val="center"/>
          </w:tcPr>
          <w:p w:rsidR="00550F0D" w:rsidRDefault="00550F0D" w:rsidP="00550F0D">
            <w:pPr>
              <w:contextualSpacing/>
              <w:jc w:val="center"/>
            </w:pPr>
            <w:r>
              <w:t>Project 1</w:t>
            </w:r>
          </w:p>
          <w:p w:rsidR="003F1C67" w:rsidRDefault="003F1C67" w:rsidP="00550F0D">
            <w:pPr>
              <w:contextualSpacing/>
              <w:jc w:val="center"/>
            </w:pPr>
          </w:p>
        </w:tc>
      </w:tr>
      <w:tr w:rsidR="003F1C67" w:rsidTr="00BE02C6">
        <w:tc>
          <w:tcPr>
            <w:tcW w:w="738" w:type="dxa"/>
            <w:tcBorders>
              <w:bottom w:val="single" w:sz="4" w:space="0" w:color="000000" w:themeColor="text1"/>
              <w:right w:val="nil"/>
            </w:tcBorders>
          </w:tcPr>
          <w:p w:rsidR="003F1C67" w:rsidRPr="00BE02C6" w:rsidRDefault="003F1C67" w:rsidP="00D11DFF">
            <w:pPr>
              <w:contextualSpacing/>
              <w:rPr>
                <w:b/>
              </w:rPr>
            </w:pPr>
          </w:p>
        </w:tc>
        <w:tc>
          <w:tcPr>
            <w:tcW w:w="450" w:type="dxa"/>
            <w:tcBorders>
              <w:left w:val="nil"/>
              <w:bottom w:val="single" w:sz="4" w:space="0" w:color="000000" w:themeColor="text1"/>
            </w:tcBorders>
          </w:tcPr>
          <w:p w:rsidR="003F1C67" w:rsidRDefault="000F6C07" w:rsidP="00D11DFF">
            <w:pPr>
              <w:contextualSpacing/>
              <w:jc w:val="center"/>
            </w:pPr>
            <w:r>
              <w:t>26</w:t>
            </w:r>
          </w:p>
        </w:tc>
        <w:tc>
          <w:tcPr>
            <w:tcW w:w="7290" w:type="dxa"/>
          </w:tcPr>
          <w:p w:rsidR="00C91542" w:rsidRPr="00976DBA" w:rsidRDefault="00C91542" w:rsidP="00C91542">
            <w:pPr>
              <w:contextualSpacing/>
              <w:rPr>
                <w:b/>
                <w:i/>
              </w:rPr>
            </w:pPr>
            <w:r w:rsidRPr="00976DBA">
              <w:rPr>
                <w:b/>
                <w:i/>
              </w:rPr>
              <w:t>Recruitment</w:t>
            </w:r>
          </w:p>
          <w:p w:rsidR="00C91542" w:rsidRDefault="000165B4" w:rsidP="00C91542">
            <w:pPr>
              <w:ind w:left="522" w:hanging="522"/>
              <w:contextualSpacing/>
            </w:pPr>
            <w:r>
              <w:t xml:space="preserve">Joyce, L.W. (2010). They can do it! You can help! A look at the talent practices at The Home Depot. In R. </w:t>
            </w:r>
            <w:proofErr w:type="spellStart"/>
            <w:r>
              <w:t>Silzer</w:t>
            </w:r>
            <w:proofErr w:type="spellEnd"/>
            <w:r>
              <w:t xml:space="preserve"> &amp; B.E. Dowell (Eds.), </w:t>
            </w:r>
            <w:r>
              <w:rPr>
                <w:i/>
              </w:rPr>
              <w:t xml:space="preserve">Strategy-driven talent management </w:t>
            </w:r>
            <w:r>
              <w:t xml:space="preserve">(pp. 655-667). San Francisco, CA: </w:t>
            </w:r>
            <w:proofErr w:type="spellStart"/>
            <w:r>
              <w:t>Jossey</w:t>
            </w:r>
            <w:proofErr w:type="spellEnd"/>
            <w:r>
              <w:t>-Bass.</w:t>
            </w:r>
          </w:p>
          <w:p w:rsidR="00D65E5F" w:rsidRDefault="00C91542" w:rsidP="00C91542">
            <w:pPr>
              <w:ind w:left="522" w:hanging="522"/>
              <w:contextualSpacing/>
            </w:pPr>
            <w:r>
              <w:t xml:space="preserve">Nolan, K.P., &amp; Harold, C.M. (2010). Fit with what? The influence of multiple self-concept images on organizational attraction. </w:t>
            </w:r>
            <w:r>
              <w:rPr>
                <w:i/>
              </w:rPr>
              <w:t xml:space="preserve">Journal of Occupational and Organizational Psychology, 83, </w:t>
            </w:r>
            <w:r>
              <w:t>645-662.</w:t>
            </w:r>
          </w:p>
          <w:p w:rsidR="000165B4" w:rsidRPr="008C7084" w:rsidRDefault="000165B4" w:rsidP="000165B4">
            <w:pPr>
              <w:ind w:left="522" w:hanging="522"/>
              <w:contextualSpacing/>
            </w:pPr>
            <w:proofErr w:type="spellStart"/>
            <w:r>
              <w:t>Bretz</w:t>
            </w:r>
            <w:proofErr w:type="spellEnd"/>
            <w:r>
              <w:t xml:space="preserve">, R.D., &amp; Judge. T.A. (1998). Realistic job previews: A test of the adverse self-selection hypothesis. </w:t>
            </w:r>
            <w:r>
              <w:rPr>
                <w:i/>
              </w:rPr>
              <w:t xml:space="preserve">Journal of Applied Psychology, 83, </w:t>
            </w:r>
            <w:r>
              <w:t>330-337.</w:t>
            </w:r>
          </w:p>
        </w:tc>
        <w:tc>
          <w:tcPr>
            <w:tcW w:w="1098" w:type="dxa"/>
            <w:vAlign w:val="center"/>
          </w:tcPr>
          <w:p w:rsidR="003F1C67" w:rsidRDefault="003F1C67" w:rsidP="00550F0D">
            <w:pPr>
              <w:contextualSpacing/>
              <w:jc w:val="center"/>
            </w:pPr>
          </w:p>
        </w:tc>
      </w:tr>
      <w:tr w:rsidR="003F1C67" w:rsidTr="007724B7">
        <w:tc>
          <w:tcPr>
            <w:tcW w:w="738" w:type="dxa"/>
            <w:tcBorders>
              <w:bottom w:val="single" w:sz="4" w:space="0" w:color="000000" w:themeColor="text1"/>
              <w:right w:val="nil"/>
            </w:tcBorders>
          </w:tcPr>
          <w:p w:rsidR="003F1C67" w:rsidRPr="000F6C07" w:rsidRDefault="000F6C07" w:rsidP="00D11DFF">
            <w:pPr>
              <w:contextualSpacing/>
              <w:rPr>
                <w:b/>
              </w:rPr>
            </w:pPr>
            <w:r w:rsidRPr="000F6C07">
              <w:rPr>
                <w:b/>
              </w:rPr>
              <w:t>Oct</w:t>
            </w:r>
          </w:p>
        </w:tc>
        <w:tc>
          <w:tcPr>
            <w:tcW w:w="450" w:type="dxa"/>
            <w:tcBorders>
              <w:left w:val="nil"/>
              <w:bottom w:val="single" w:sz="4" w:space="0" w:color="000000" w:themeColor="text1"/>
            </w:tcBorders>
          </w:tcPr>
          <w:p w:rsidR="003F1C67" w:rsidRDefault="000F6C07" w:rsidP="00D11DFF">
            <w:pPr>
              <w:contextualSpacing/>
              <w:jc w:val="center"/>
            </w:pPr>
            <w:r>
              <w:t>3</w:t>
            </w:r>
          </w:p>
        </w:tc>
        <w:tc>
          <w:tcPr>
            <w:tcW w:w="7290" w:type="dxa"/>
            <w:tcBorders>
              <w:bottom w:val="single" w:sz="4" w:space="0" w:color="000000" w:themeColor="text1"/>
            </w:tcBorders>
          </w:tcPr>
          <w:p w:rsidR="00C91542" w:rsidRPr="00F6747D" w:rsidRDefault="00C91542" w:rsidP="00C91542">
            <w:pPr>
              <w:contextualSpacing/>
              <w:rPr>
                <w:b/>
                <w:i/>
              </w:rPr>
            </w:pPr>
            <w:r w:rsidRPr="00F6747D">
              <w:rPr>
                <w:b/>
                <w:i/>
              </w:rPr>
              <w:t>Identifying Criteria &amp; Validating Tests and Measures</w:t>
            </w:r>
          </w:p>
          <w:p w:rsidR="00C91542" w:rsidRPr="00EA285D" w:rsidRDefault="00C91542" w:rsidP="00C91542">
            <w:pPr>
              <w:ind w:left="522" w:hanging="522"/>
              <w:contextualSpacing/>
            </w:pPr>
            <w:r>
              <w:t xml:space="preserve">Berry, L.M. (2003). </w:t>
            </w:r>
            <w:r>
              <w:rPr>
                <w:i/>
              </w:rPr>
              <w:t xml:space="preserve">Employee selection </w:t>
            </w:r>
            <w:r>
              <w:t>(Chapter 7 excerpt, pp. 163-189). Belmont, CA: Thomson/Wadsworth.</w:t>
            </w:r>
          </w:p>
          <w:p w:rsidR="00C91542" w:rsidRPr="00B161C6" w:rsidRDefault="00C91542" w:rsidP="00C91542">
            <w:pPr>
              <w:ind w:left="522" w:hanging="522"/>
              <w:contextualSpacing/>
            </w:pPr>
            <w:proofErr w:type="spellStart"/>
            <w:r>
              <w:t>Guion</w:t>
            </w:r>
            <w:proofErr w:type="spellEnd"/>
            <w:r>
              <w:t xml:space="preserve">, R.M., &amp; </w:t>
            </w:r>
            <w:proofErr w:type="spellStart"/>
            <w:r>
              <w:t>Highhouse</w:t>
            </w:r>
            <w:proofErr w:type="spellEnd"/>
            <w:r>
              <w:t xml:space="preserve">, S. (2006). </w:t>
            </w:r>
            <w:r>
              <w:rPr>
                <w:i/>
              </w:rPr>
              <w:t xml:space="preserve">Essentials of personnel assessment and selection </w:t>
            </w:r>
            <w:r>
              <w:t>(Chapter 3 excerpt, pp. 51-63). Mahwah, NJ: LEA.</w:t>
            </w:r>
          </w:p>
          <w:p w:rsidR="0000728C" w:rsidRPr="00DB0894" w:rsidRDefault="00C91542" w:rsidP="00C91542">
            <w:pPr>
              <w:ind w:left="522" w:hanging="522"/>
            </w:pPr>
            <w:proofErr w:type="spellStart"/>
            <w:r>
              <w:t>Chowning</w:t>
            </w:r>
            <w:proofErr w:type="spellEnd"/>
            <w:r>
              <w:t xml:space="preserve">, K., &amp; Campbell, N.J. (2009). Development and validation of a measure of academic entitlement: Individual differences in students’ externalized responsibility and entitled expectations. </w:t>
            </w:r>
            <w:r>
              <w:rPr>
                <w:i/>
              </w:rPr>
              <w:t xml:space="preserve">Journal of Educational Psychology, 101, </w:t>
            </w:r>
            <w:r>
              <w:t>982-997.</w:t>
            </w:r>
          </w:p>
        </w:tc>
        <w:tc>
          <w:tcPr>
            <w:tcW w:w="1098" w:type="dxa"/>
            <w:tcBorders>
              <w:bottom w:val="single" w:sz="4" w:space="0" w:color="000000" w:themeColor="text1"/>
            </w:tcBorders>
            <w:vAlign w:val="center"/>
          </w:tcPr>
          <w:p w:rsidR="003F1C67" w:rsidRDefault="00550F0D" w:rsidP="00550F0D">
            <w:pPr>
              <w:contextualSpacing/>
              <w:jc w:val="center"/>
            </w:pPr>
            <w:r>
              <w:t>Project 2</w:t>
            </w:r>
          </w:p>
        </w:tc>
      </w:tr>
      <w:tr w:rsidR="00CC52A6" w:rsidTr="007724B7">
        <w:tc>
          <w:tcPr>
            <w:tcW w:w="738" w:type="dxa"/>
            <w:tcBorders>
              <w:bottom w:val="single" w:sz="4" w:space="0" w:color="000000" w:themeColor="text1"/>
              <w:right w:val="nil"/>
            </w:tcBorders>
          </w:tcPr>
          <w:p w:rsidR="0032577C" w:rsidRDefault="0032577C" w:rsidP="00D11DFF">
            <w:pPr>
              <w:contextualSpacing/>
            </w:pPr>
          </w:p>
        </w:tc>
        <w:tc>
          <w:tcPr>
            <w:tcW w:w="450" w:type="dxa"/>
            <w:tcBorders>
              <w:left w:val="nil"/>
              <w:bottom w:val="single" w:sz="4" w:space="0" w:color="000000" w:themeColor="text1"/>
            </w:tcBorders>
          </w:tcPr>
          <w:p w:rsidR="00CC52A6" w:rsidRDefault="00CC52A6" w:rsidP="00D11DFF">
            <w:pPr>
              <w:contextualSpacing/>
              <w:jc w:val="center"/>
            </w:pPr>
            <w:r>
              <w:t>1</w:t>
            </w:r>
            <w:r w:rsidR="000F6C07">
              <w:t>0</w:t>
            </w:r>
          </w:p>
          <w:p w:rsidR="007724B7" w:rsidRDefault="007724B7" w:rsidP="00D11DFF">
            <w:pPr>
              <w:contextualSpacing/>
              <w:jc w:val="center"/>
            </w:pPr>
          </w:p>
        </w:tc>
        <w:tc>
          <w:tcPr>
            <w:tcW w:w="8388" w:type="dxa"/>
            <w:gridSpan w:val="2"/>
            <w:tcBorders>
              <w:bottom w:val="single" w:sz="4" w:space="0" w:color="000000" w:themeColor="text1"/>
            </w:tcBorders>
            <w:shd w:val="clear" w:color="auto" w:fill="BFBFBF" w:themeFill="background1" w:themeFillShade="BF"/>
            <w:vAlign w:val="center"/>
          </w:tcPr>
          <w:p w:rsidR="007724B7" w:rsidRPr="00C546DE" w:rsidRDefault="007724B7" w:rsidP="007724B7">
            <w:pPr>
              <w:contextualSpacing/>
              <w:jc w:val="center"/>
              <w:rPr>
                <w:color w:val="FF0000"/>
                <w:highlight w:val="yellow"/>
              </w:rPr>
            </w:pPr>
            <w:r w:rsidRPr="00CC52A6">
              <w:rPr>
                <w:b/>
              </w:rPr>
              <w:t>Exam 1</w:t>
            </w:r>
          </w:p>
        </w:tc>
      </w:tr>
      <w:tr w:rsidR="00546F7A" w:rsidTr="00E91423">
        <w:tc>
          <w:tcPr>
            <w:tcW w:w="738" w:type="dxa"/>
            <w:tcBorders>
              <w:bottom w:val="single" w:sz="4" w:space="0" w:color="000000" w:themeColor="text1"/>
              <w:right w:val="nil"/>
            </w:tcBorders>
          </w:tcPr>
          <w:p w:rsidR="00546F7A" w:rsidRDefault="00546F7A" w:rsidP="00D11DFF">
            <w:pPr>
              <w:contextualSpacing/>
            </w:pPr>
          </w:p>
        </w:tc>
        <w:tc>
          <w:tcPr>
            <w:tcW w:w="450" w:type="dxa"/>
            <w:tcBorders>
              <w:left w:val="nil"/>
              <w:bottom w:val="single" w:sz="4" w:space="0" w:color="000000" w:themeColor="text1"/>
            </w:tcBorders>
          </w:tcPr>
          <w:p w:rsidR="00546F7A" w:rsidRDefault="00546F7A" w:rsidP="00D11DFF">
            <w:pPr>
              <w:contextualSpacing/>
              <w:jc w:val="center"/>
            </w:pPr>
            <w:r>
              <w:t>17</w:t>
            </w:r>
          </w:p>
        </w:tc>
        <w:tc>
          <w:tcPr>
            <w:tcW w:w="7290" w:type="dxa"/>
            <w:vAlign w:val="center"/>
          </w:tcPr>
          <w:p w:rsidR="00546F7A" w:rsidRPr="00946AD8" w:rsidRDefault="00546F7A" w:rsidP="004173CD">
            <w:pPr>
              <w:contextualSpacing/>
              <w:rPr>
                <w:b/>
                <w:i/>
              </w:rPr>
            </w:pPr>
            <w:r w:rsidRPr="00946AD8">
              <w:rPr>
                <w:b/>
                <w:i/>
              </w:rPr>
              <w:t>Selection I: Screening Methods</w:t>
            </w:r>
          </w:p>
          <w:p w:rsidR="00546F7A" w:rsidRDefault="00546F7A" w:rsidP="004173CD">
            <w:pPr>
              <w:ind w:left="522" w:hanging="522"/>
              <w:contextualSpacing/>
            </w:pPr>
            <w:r>
              <w:t xml:space="preserve">Brown, V.R., &amp; Vaughn, E.D. (2011). The writing on the (Facebook) wall: The use of social networking sites in hiring decisions. </w:t>
            </w:r>
            <w:r>
              <w:rPr>
                <w:i/>
              </w:rPr>
              <w:t xml:space="preserve">Journal of Business &amp; Psychology, 26, </w:t>
            </w:r>
            <w:r>
              <w:t>219-225.</w:t>
            </w:r>
          </w:p>
          <w:p w:rsidR="00546F7A" w:rsidRDefault="00546F7A" w:rsidP="004173CD">
            <w:pPr>
              <w:ind w:left="522" w:hanging="522"/>
              <w:contextualSpacing/>
            </w:pPr>
            <w:proofErr w:type="spellStart"/>
            <w:r>
              <w:t>Paronto</w:t>
            </w:r>
            <w:proofErr w:type="spellEnd"/>
            <w:r>
              <w:t xml:space="preserve">, M.E., </w:t>
            </w:r>
            <w:proofErr w:type="spellStart"/>
            <w:r>
              <w:t>Truxillo</w:t>
            </w:r>
            <w:proofErr w:type="spellEnd"/>
            <w:r>
              <w:t xml:space="preserve">, D.M., Bauer, T.N., &amp; Leo, M.C. (2002). Drug testing, drug </w:t>
            </w:r>
            <w:proofErr w:type="gramStart"/>
            <w:r>
              <w:t>treatment,</w:t>
            </w:r>
            <w:proofErr w:type="gramEnd"/>
            <w:r>
              <w:t xml:space="preserve"> and marijuana use: A fairness perspective. </w:t>
            </w:r>
            <w:r>
              <w:rPr>
                <w:i/>
              </w:rPr>
              <w:t xml:space="preserve">Journal of Applied Psychology, 87, </w:t>
            </w:r>
            <w:r>
              <w:t>1159-1166.</w:t>
            </w:r>
          </w:p>
          <w:p w:rsidR="00546F7A" w:rsidRPr="007724B7" w:rsidRDefault="00546F7A" w:rsidP="004173CD">
            <w:pPr>
              <w:ind w:left="522" w:hanging="522"/>
              <w:contextualSpacing/>
            </w:pPr>
            <w:proofErr w:type="spellStart"/>
            <w:r>
              <w:t>Bernerth</w:t>
            </w:r>
            <w:proofErr w:type="spellEnd"/>
            <w:r>
              <w:t>, J.B., Taylor, S.G., Wal</w:t>
            </w:r>
            <w:bookmarkStart w:id="0" w:name="_GoBack"/>
            <w:bookmarkEnd w:id="0"/>
            <w:r>
              <w:t xml:space="preserve">ker, H.J., &amp; Whitman, D.S. (2012). An empirical investigation of dispositional antecedents and performance-related outcomes of credit scores. </w:t>
            </w:r>
            <w:r>
              <w:rPr>
                <w:i/>
              </w:rPr>
              <w:t xml:space="preserve">Journal of Applied Psychology, 97, </w:t>
            </w:r>
            <w:r>
              <w:t>469-478.</w:t>
            </w:r>
          </w:p>
        </w:tc>
        <w:tc>
          <w:tcPr>
            <w:tcW w:w="1098" w:type="dxa"/>
            <w:vAlign w:val="center"/>
          </w:tcPr>
          <w:p w:rsidR="00546F7A" w:rsidRDefault="00546F7A" w:rsidP="000614C3">
            <w:pPr>
              <w:contextualSpacing/>
              <w:jc w:val="center"/>
            </w:pPr>
          </w:p>
        </w:tc>
      </w:tr>
      <w:tr w:rsidR="00546F7A" w:rsidTr="00BE02C6">
        <w:tc>
          <w:tcPr>
            <w:tcW w:w="738" w:type="dxa"/>
            <w:tcBorders>
              <w:bottom w:val="single" w:sz="4" w:space="0" w:color="000000" w:themeColor="text1"/>
              <w:right w:val="nil"/>
            </w:tcBorders>
          </w:tcPr>
          <w:p w:rsidR="00546F7A" w:rsidRDefault="00546F7A" w:rsidP="00D11DFF">
            <w:pPr>
              <w:contextualSpacing/>
            </w:pPr>
          </w:p>
        </w:tc>
        <w:tc>
          <w:tcPr>
            <w:tcW w:w="450" w:type="dxa"/>
            <w:tcBorders>
              <w:left w:val="nil"/>
              <w:bottom w:val="single" w:sz="4" w:space="0" w:color="000000" w:themeColor="text1"/>
            </w:tcBorders>
          </w:tcPr>
          <w:p w:rsidR="00546F7A" w:rsidRDefault="00546F7A" w:rsidP="00D11DFF">
            <w:pPr>
              <w:contextualSpacing/>
              <w:jc w:val="center"/>
            </w:pPr>
            <w:r>
              <w:t>24</w:t>
            </w:r>
          </w:p>
        </w:tc>
        <w:tc>
          <w:tcPr>
            <w:tcW w:w="7290" w:type="dxa"/>
          </w:tcPr>
          <w:p w:rsidR="00546F7A" w:rsidRPr="00946AD8" w:rsidRDefault="00546F7A" w:rsidP="007724B7">
            <w:pPr>
              <w:contextualSpacing/>
              <w:rPr>
                <w:b/>
                <w:i/>
              </w:rPr>
            </w:pPr>
            <w:r w:rsidRPr="00946AD8">
              <w:rPr>
                <w:b/>
                <w:i/>
              </w:rPr>
              <w:t>Selection II: Intensive Methods</w:t>
            </w:r>
          </w:p>
          <w:p w:rsidR="00546F7A" w:rsidRPr="00B6437E" w:rsidRDefault="00546F7A" w:rsidP="007724B7">
            <w:pPr>
              <w:ind w:left="522" w:hanging="522"/>
              <w:contextualSpacing/>
            </w:pPr>
            <w:proofErr w:type="spellStart"/>
            <w:r>
              <w:t>Lievens</w:t>
            </w:r>
            <w:proofErr w:type="spellEnd"/>
            <w:r>
              <w:t xml:space="preserve">, F., &amp; Patterson, F. (2011). The validity and incremental validity of knowledge tests, low-fidelity simulations, and high-fidelity simulations for predicting job performance in advanced-level high-stakes selection. </w:t>
            </w:r>
            <w:r>
              <w:rPr>
                <w:i/>
              </w:rPr>
              <w:t xml:space="preserve">Journal of Applied Psychology, 96, </w:t>
            </w:r>
            <w:r>
              <w:t>927-940.</w:t>
            </w:r>
          </w:p>
          <w:p w:rsidR="00546F7A" w:rsidRDefault="00546F7A" w:rsidP="007724B7">
            <w:pPr>
              <w:ind w:left="522" w:hanging="522"/>
              <w:contextualSpacing/>
            </w:pPr>
            <w:proofErr w:type="spellStart"/>
            <w:r>
              <w:t>Kuncel</w:t>
            </w:r>
            <w:proofErr w:type="spellEnd"/>
            <w:r>
              <w:t xml:space="preserve">, N.R., &amp; </w:t>
            </w:r>
            <w:proofErr w:type="spellStart"/>
            <w:r>
              <w:t>Hezlett</w:t>
            </w:r>
            <w:proofErr w:type="spellEnd"/>
            <w:r>
              <w:t xml:space="preserve">, S.A. (2010). Fact and fiction in cognitive ability testing for admissions and hiring decisions. </w:t>
            </w:r>
            <w:r>
              <w:rPr>
                <w:i/>
              </w:rPr>
              <w:t xml:space="preserve">Current Directions in Psychological Science, 19, </w:t>
            </w:r>
            <w:r>
              <w:t>339-345.</w:t>
            </w:r>
          </w:p>
          <w:p w:rsidR="00546F7A" w:rsidRPr="00FE4B0D" w:rsidRDefault="00546F7A" w:rsidP="007724B7">
            <w:pPr>
              <w:ind w:left="522" w:hanging="522"/>
              <w:contextualSpacing/>
            </w:pPr>
            <w:r>
              <w:t xml:space="preserve">Hogan, R., Hogan, J., &amp; Roberts, B.W. (1996). Personality measurement and employment decisions: Questions and answers. </w:t>
            </w:r>
            <w:r>
              <w:rPr>
                <w:i/>
              </w:rPr>
              <w:t xml:space="preserve">American Psychologist, 51, </w:t>
            </w:r>
            <w:r>
              <w:t>469-477.</w:t>
            </w:r>
          </w:p>
        </w:tc>
        <w:tc>
          <w:tcPr>
            <w:tcW w:w="1098" w:type="dxa"/>
            <w:vAlign w:val="center"/>
          </w:tcPr>
          <w:p w:rsidR="00546F7A" w:rsidRDefault="00546F7A" w:rsidP="000614C3">
            <w:pPr>
              <w:contextualSpacing/>
              <w:jc w:val="center"/>
            </w:pPr>
          </w:p>
        </w:tc>
      </w:tr>
      <w:tr w:rsidR="00546F7A" w:rsidTr="00BE02C6">
        <w:tc>
          <w:tcPr>
            <w:tcW w:w="738" w:type="dxa"/>
            <w:tcBorders>
              <w:bottom w:val="single" w:sz="4" w:space="0" w:color="000000" w:themeColor="text1"/>
              <w:right w:val="nil"/>
            </w:tcBorders>
          </w:tcPr>
          <w:p w:rsidR="00546F7A" w:rsidRPr="000F6C07" w:rsidRDefault="00546F7A" w:rsidP="00D11DFF">
            <w:pPr>
              <w:contextualSpacing/>
              <w:rPr>
                <w:b/>
              </w:rPr>
            </w:pPr>
          </w:p>
        </w:tc>
        <w:tc>
          <w:tcPr>
            <w:tcW w:w="450" w:type="dxa"/>
            <w:tcBorders>
              <w:left w:val="nil"/>
              <w:bottom w:val="single" w:sz="4" w:space="0" w:color="000000" w:themeColor="text1"/>
            </w:tcBorders>
          </w:tcPr>
          <w:p w:rsidR="00546F7A" w:rsidRDefault="00546F7A" w:rsidP="00D11DFF">
            <w:pPr>
              <w:contextualSpacing/>
              <w:jc w:val="center"/>
            </w:pPr>
            <w:r>
              <w:t>31</w:t>
            </w:r>
          </w:p>
        </w:tc>
        <w:tc>
          <w:tcPr>
            <w:tcW w:w="7290" w:type="dxa"/>
          </w:tcPr>
          <w:p w:rsidR="00546F7A" w:rsidRPr="007724B7" w:rsidRDefault="00546F7A" w:rsidP="007724B7">
            <w:pPr>
              <w:contextualSpacing/>
              <w:jc w:val="center"/>
              <w:rPr>
                <w:i/>
              </w:rPr>
            </w:pPr>
            <w:r w:rsidRPr="007724B7">
              <w:rPr>
                <w:i/>
                <w:color w:val="FF0000"/>
                <w:highlight w:val="yellow"/>
              </w:rPr>
              <w:t>NO CLASS MEETING – FALL BREAK</w:t>
            </w:r>
          </w:p>
        </w:tc>
        <w:tc>
          <w:tcPr>
            <w:tcW w:w="1098" w:type="dxa"/>
            <w:vAlign w:val="center"/>
          </w:tcPr>
          <w:p w:rsidR="00546F7A" w:rsidRDefault="00546F7A" w:rsidP="000614C3">
            <w:pPr>
              <w:contextualSpacing/>
              <w:jc w:val="center"/>
            </w:pPr>
          </w:p>
        </w:tc>
      </w:tr>
      <w:tr w:rsidR="00546F7A" w:rsidTr="00BE02C6">
        <w:tc>
          <w:tcPr>
            <w:tcW w:w="738" w:type="dxa"/>
            <w:tcBorders>
              <w:bottom w:val="single" w:sz="4" w:space="0" w:color="000000" w:themeColor="text1"/>
              <w:right w:val="nil"/>
            </w:tcBorders>
          </w:tcPr>
          <w:p w:rsidR="00546F7A" w:rsidRPr="000F6C07" w:rsidRDefault="00546F7A" w:rsidP="00D11DFF">
            <w:pPr>
              <w:contextualSpacing/>
              <w:rPr>
                <w:b/>
              </w:rPr>
            </w:pPr>
            <w:r w:rsidRPr="000F6C07">
              <w:rPr>
                <w:b/>
              </w:rPr>
              <w:t>Nov</w:t>
            </w:r>
          </w:p>
        </w:tc>
        <w:tc>
          <w:tcPr>
            <w:tcW w:w="450" w:type="dxa"/>
            <w:tcBorders>
              <w:left w:val="nil"/>
              <w:bottom w:val="single" w:sz="4" w:space="0" w:color="000000" w:themeColor="text1"/>
            </w:tcBorders>
          </w:tcPr>
          <w:p w:rsidR="00546F7A" w:rsidRDefault="00546F7A" w:rsidP="00D11DFF">
            <w:pPr>
              <w:contextualSpacing/>
              <w:jc w:val="center"/>
            </w:pPr>
            <w:r>
              <w:t>7</w:t>
            </w:r>
          </w:p>
        </w:tc>
        <w:tc>
          <w:tcPr>
            <w:tcW w:w="7290" w:type="dxa"/>
          </w:tcPr>
          <w:p w:rsidR="00546F7A" w:rsidRPr="000C3094" w:rsidRDefault="00546F7A" w:rsidP="00E331ED">
            <w:pPr>
              <w:contextualSpacing/>
              <w:rPr>
                <w:b/>
                <w:i/>
              </w:rPr>
            </w:pPr>
            <w:r w:rsidRPr="000C3094">
              <w:rPr>
                <w:b/>
                <w:i/>
              </w:rPr>
              <w:t>Training I: Context &amp; Design</w:t>
            </w:r>
          </w:p>
          <w:p w:rsidR="00546F7A" w:rsidRPr="001D00D9" w:rsidRDefault="00546F7A" w:rsidP="00E331ED">
            <w:pPr>
              <w:ind w:left="522" w:hanging="522"/>
              <w:contextualSpacing/>
            </w:pPr>
            <w:proofErr w:type="spellStart"/>
            <w:r>
              <w:t>Aguinis</w:t>
            </w:r>
            <w:proofErr w:type="spellEnd"/>
            <w:r>
              <w:t xml:space="preserve">, H., &amp; </w:t>
            </w:r>
            <w:proofErr w:type="spellStart"/>
            <w:r>
              <w:t>Kraiger</w:t>
            </w:r>
            <w:proofErr w:type="spellEnd"/>
            <w:r>
              <w:t xml:space="preserve">, K. (2009). Benefits of training and development for individuals and teams, organizations, and society. </w:t>
            </w:r>
            <w:r>
              <w:rPr>
                <w:i/>
              </w:rPr>
              <w:t xml:space="preserve">Annual Review of Psychology, 60, </w:t>
            </w:r>
            <w:r>
              <w:t>451-474.</w:t>
            </w:r>
          </w:p>
          <w:p w:rsidR="00546F7A" w:rsidRDefault="00546F7A" w:rsidP="00E331ED">
            <w:pPr>
              <w:ind w:left="522" w:hanging="522"/>
              <w:contextualSpacing/>
            </w:pPr>
            <w:r>
              <w:t xml:space="preserve">Arnold, J.T. (2008). Kicking up cross-training. </w:t>
            </w:r>
            <w:r>
              <w:rPr>
                <w:i/>
              </w:rPr>
              <w:t xml:space="preserve">HR Magazine, 53, </w:t>
            </w:r>
            <w:r>
              <w:t>96-100.</w:t>
            </w:r>
          </w:p>
          <w:p w:rsidR="00546F7A" w:rsidRDefault="00546F7A" w:rsidP="00E331ED">
            <w:pPr>
              <w:ind w:left="522" w:hanging="522"/>
              <w:contextualSpacing/>
            </w:pPr>
            <w:proofErr w:type="spellStart"/>
            <w:r>
              <w:lastRenderedPageBreak/>
              <w:t>Hira</w:t>
            </w:r>
            <w:proofErr w:type="spellEnd"/>
            <w:r>
              <w:t xml:space="preserve">, N.A. (2007, November 12). The making of a UPS driver. </w:t>
            </w:r>
            <w:r>
              <w:rPr>
                <w:i/>
              </w:rPr>
              <w:t xml:space="preserve">Fortune, 156(10), </w:t>
            </w:r>
            <w:r>
              <w:t>118-128.</w:t>
            </w:r>
          </w:p>
        </w:tc>
        <w:tc>
          <w:tcPr>
            <w:tcW w:w="1098" w:type="dxa"/>
            <w:vAlign w:val="center"/>
          </w:tcPr>
          <w:p w:rsidR="00546F7A" w:rsidRDefault="00546F7A" w:rsidP="000614C3">
            <w:pPr>
              <w:contextualSpacing/>
              <w:jc w:val="center"/>
            </w:pPr>
            <w:r>
              <w:lastRenderedPageBreak/>
              <w:t>Project 3</w:t>
            </w:r>
          </w:p>
        </w:tc>
      </w:tr>
      <w:tr w:rsidR="00546F7A" w:rsidTr="00812812">
        <w:tc>
          <w:tcPr>
            <w:tcW w:w="738" w:type="dxa"/>
            <w:tcBorders>
              <w:bottom w:val="single" w:sz="4" w:space="0" w:color="000000" w:themeColor="text1"/>
              <w:right w:val="nil"/>
            </w:tcBorders>
          </w:tcPr>
          <w:p w:rsidR="00546F7A" w:rsidRDefault="00546F7A" w:rsidP="00D11DFF">
            <w:pPr>
              <w:contextualSpacing/>
            </w:pPr>
          </w:p>
        </w:tc>
        <w:tc>
          <w:tcPr>
            <w:tcW w:w="450" w:type="dxa"/>
            <w:tcBorders>
              <w:left w:val="nil"/>
              <w:bottom w:val="single" w:sz="4" w:space="0" w:color="000000" w:themeColor="text1"/>
            </w:tcBorders>
          </w:tcPr>
          <w:p w:rsidR="00546F7A" w:rsidRDefault="00546F7A" w:rsidP="00D11DFF">
            <w:pPr>
              <w:contextualSpacing/>
              <w:jc w:val="center"/>
            </w:pPr>
            <w:r>
              <w:t>14</w:t>
            </w:r>
          </w:p>
        </w:tc>
        <w:tc>
          <w:tcPr>
            <w:tcW w:w="7290" w:type="dxa"/>
          </w:tcPr>
          <w:p w:rsidR="00546F7A" w:rsidRPr="000C3094" w:rsidRDefault="00546F7A" w:rsidP="00E331ED">
            <w:pPr>
              <w:contextualSpacing/>
              <w:rPr>
                <w:b/>
                <w:i/>
              </w:rPr>
            </w:pPr>
            <w:r w:rsidRPr="000C3094">
              <w:rPr>
                <w:b/>
                <w:i/>
              </w:rPr>
              <w:t>Training II: Implementation &amp; Evaluation</w:t>
            </w:r>
          </w:p>
          <w:p w:rsidR="00546F7A" w:rsidRPr="003F246A" w:rsidRDefault="00546F7A" w:rsidP="00E331ED">
            <w:pPr>
              <w:ind w:left="522" w:hanging="522"/>
              <w:contextualSpacing/>
            </w:pPr>
            <w:proofErr w:type="spellStart"/>
            <w:r>
              <w:t>Wallen</w:t>
            </w:r>
            <w:proofErr w:type="spellEnd"/>
            <w:r>
              <w:t xml:space="preserve">, E.S., &amp; </w:t>
            </w:r>
            <w:proofErr w:type="spellStart"/>
            <w:r>
              <w:t>Mulloy</w:t>
            </w:r>
            <w:proofErr w:type="spellEnd"/>
            <w:r>
              <w:t xml:space="preserve">, K.B. (2006). Computer-based training for safety: Comparing methods with older and younger workers. </w:t>
            </w:r>
            <w:r>
              <w:rPr>
                <w:i/>
              </w:rPr>
              <w:t xml:space="preserve">Journal of Safety Research, 37, </w:t>
            </w:r>
            <w:r>
              <w:t>461-467.</w:t>
            </w:r>
          </w:p>
          <w:p w:rsidR="00546F7A" w:rsidRPr="00D14BF7" w:rsidRDefault="00546F7A" w:rsidP="00E331ED">
            <w:pPr>
              <w:ind w:left="522" w:hanging="522"/>
              <w:contextualSpacing/>
            </w:pPr>
            <w:proofErr w:type="spellStart"/>
            <w:r>
              <w:t>Towler</w:t>
            </w:r>
            <w:proofErr w:type="spellEnd"/>
            <w:r>
              <w:t xml:space="preserve">, A. (2009). Effects of trainer expressiveness, seductive details, and trainee goal orientation on training outcomes. </w:t>
            </w:r>
            <w:r>
              <w:rPr>
                <w:i/>
              </w:rPr>
              <w:t xml:space="preserve">Human Resource Development Quarterly, 20, </w:t>
            </w:r>
            <w:r>
              <w:t>65-84.</w:t>
            </w:r>
          </w:p>
          <w:p w:rsidR="00546F7A" w:rsidRPr="00C546DE" w:rsidRDefault="00546F7A" w:rsidP="00D14BF7">
            <w:pPr>
              <w:ind w:left="522" w:hanging="522"/>
              <w:contextualSpacing/>
              <w:rPr>
                <w:i/>
                <w:color w:val="FF0000"/>
              </w:rPr>
            </w:pPr>
            <w:r>
              <w:t xml:space="preserve">Kirkpatrick, J., &amp; Kirkpatrick, W. (2009, November). The Kirkpatrick model: Past, present, and future. </w:t>
            </w:r>
            <w:r>
              <w:rPr>
                <w:i/>
              </w:rPr>
              <w:t>Chief Learning Officer, 8</w:t>
            </w:r>
            <w:r>
              <w:t>(11), 20-24.</w:t>
            </w:r>
          </w:p>
        </w:tc>
        <w:tc>
          <w:tcPr>
            <w:tcW w:w="1098" w:type="dxa"/>
          </w:tcPr>
          <w:p w:rsidR="00546F7A" w:rsidRPr="000A5D6F" w:rsidRDefault="00546F7A" w:rsidP="0002071D">
            <w:pPr>
              <w:ind w:left="522" w:hanging="522"/>
              <w:contextualSpacing/>
            </w:pPr>
          </w:p>
        </w:tc>
      </w:tr>
      <w:tr w:rsidR="00546F7A" w:rsidTr="0051291A">
        <w:tc>
          <w:tcPr>
            <w:tcW w:w="738" w:type="dxa"/>
            <w:tcBorders>
              <w:bottom w:val="single" w:sz="4" w:space="0" w:color="000000" w:themeColor="text1"/>
              <w:right w:val="nil"/>
            </w:tcBorders>
          </w:tcPr>
          <w:p w:rsidR="00546F7A" w:rsidRDefault="00546F7A" w:rsidP="00D11DFF">
            <w:pPr>
              <w:contextualSpacing/>
            </w:pPr>
          </w:p>
        </w:tc>
        <w:tc>
          <w:tcPr>
            <w:tcW w:w="450" w:type="dxa"/>
            <w:tcBorders>
              <w:left w:val="nil"/>
              <w:bottom w:val="single" w:sz="4" w:space="0" w:color="000000" w:themeColor="text1"/>
            </w:tcBorders>
          </w:tcPr>
          <w:p w:rsidR="00546F7A" w:rsidRDefault="00546F7A" w:rsidP="00D11DFF">
            <w:pPr>
              <w:contextualSpacing/>
              <w:jc w:val="center"/>
            </w:pPr>
            <w:r>
              <w:t>21</w:t>
            </w:r>
          </w:p>
        </w:tc>
        <w:tc>
          <w:tcPr>
            <w:tcW w:w="8388" w:type="dxa"/>
            <w:gridSpan w:val="2"/>
          </w:tcPr>
          <w:p w:rsidR="00546F7A" w:rsidRDefault="00546F7A" w:rsidP="000614C3">
            <w:pPr>
              <w:contextualSpacing/>
              <w:jc w:val="center"/>
            </w:pPr>
            <w:r>
              <w:rPr>
                <w:i/>
                <w:color w:val="FF0000"/>
                <w:highlight w:val="yellow"/>
              </w:rPr>
              <w:t>NO CLASS MEETING – THANKSGIVING BREAK</w:t>
            </w:r>
          </w:p>
        </w:tc>
      </w:tr>
      <w:tr w:rsidR="00546F7A" w:rsidTr="00BE02C6">
        <w:tc>
          <w:tcPr>
            <w:tcW w:w="738" w:type="dxa"/>
            <w:tcBorders>
              <w:bottom w:val="single" w:sz="4" w:space="0" w:color="000000" w:themeColor="text1"/>
              <w:right w:val="nil"/>
            </w:tcBorders>
          </w:tcPr>
          <w:p w:rsidR="00546F7A" w:rsidRPr="00BE02C6" w:rsidRDefault="00546F7A" w:rsidP="00D11DFF">
            <w:pPr>
              <w:contextualSpacing/>
              <w:rPr>
                <w:b/>
              </w:rPr>
            </w:pPr>
          </w:p>
        </w:tc>
        <w:tc>
          <w:tcPr>
            <w:tcW w:w="450" w:type="dxa"/>
            <w:tcBorders>
              <w:left w:val="nil"/>
              <w:bottom w:val="single" w:sz="4" w:space="0" w:color="000000" w:themeColor="text1"/>
            </w:tcBorders>
          </w:tcPr>
          <w:p w:rsidR="00546F7A" w:rsidRDefault="00546F7A" w:rsidP="00D11DFF">
            <w:pPr>
              <w:contextualSpacing/>
              <w:jc w:val="center"/>
            </w:pPr>
            <w:r>
              <w:t>28</w:t>
            </w:r>
          </w:p>
        </w:tc>
        <w:tc>
          <w:tcPr>
            <w:tcW w:w="7290" w:type="dxa"/>
            <w:tcBorders>
              <w:bottom w:val="single" w:sz="4" w:space="0" w:color="000000" w:themeColor="text1"/>
            </w:tcBorders>
          </w:tcPr>
          <w:p w:rsidR="00546F7A" w:rsidRDefault="00546F7A" w:rsidP="00A47B77">
            <w:pPr>
              <w:contextualSpacing/>
              <w:rPr>
                <w:b/>
                <w:i/>
              </w:rPr>
            </w:pPr>
            <w:r>
              <w:rPr>
                <w:b/>
                <w:i/>
              </w:rPr>
              <w:t xml:space="preserve">Performance Management </w:t>
            </w:r>
            <w:r w:rsidRPr="000C3094">
              <w:rPr>
                <w:b/>
                <w:i/>
              </w:rPr>
              <w:t xml:space="preserve">I: </w:t>
            </w:r>
            <w:r>
              <w:rPr>
                <w:b/>
                <w:i/>
              </w:rPr>
              <w:t>Performance Goals and Feedback</w:t>
            </w:r>
          </w:p>
          <w:p w:rsidR="00546F7A" w:rsidRPr="00317365" w:rsidRDefault="00546F7A" w:rsidP="00A47B77">
            <w:pPr>
              <w:ind w:left="522" w:hanging="522"/>
              <w:contextualSpacing/>
            </w:pPr>
            <w:r>
              <w:t xml:space="preserve">Locke, E.A., &amp; Latham, G.P. (2006). New directions in goal-setting theory. </w:t>
            </w:r>
            <w:r>
              <w:rPr>
                <w:i/>
              </w:rPr>
              <w:t xml:space="preserve">Current Directions in Psychological Science, 15, </w:t>
            </w:r>
            <w:r>
              <w:t>265-268.</w:t>
            </w:r>
          </w:p>
          <w:p w:rsidR="00546F7A" w:rsidRDefault="00546F7A" w:rsidP="00A47B77">
            <w:pPr>
              <w:ind w:left="522" w:hanging="522"/>
              <w:contextualSpacing/>
            </w:pPr>
            <w:r>
              <w:t xml:space="preserve">London, M. (2003). </w:t>
            </w:r>
            <w:r w:rsidRPr="005F731C">
              <w:rPr>
                <w:i/>
              </w:rPr>
              <w:t>Job feedback</w:t>
            </w:r>
            <w:r>
              <w:t xml:space="preserve"> (Chapter 7, Multisource Feedback). Mahwah, NJ: LEA Publishers.</w:t>
            </w:r>
          </w:p>
          <w:p w:rsidR="00546F7A" w:rsidRPr="003858D4" w:rsidRDefault="00546F7A" w:rsidP="00A47B77">
            <w:pPr>
              <w:ind w:left="522" w:hanging="522"/>
              <w:contextualSpacing/>
            </w:pPr>
            <w:r>
              <w:t xml:space="preserve">O’Malley, A.L., &amp; Gregory, J.B. (2011). Don’t be such a downer: Using positive psychology to enhance the value of negative feedback. </w:t>
            </w:r>
            <w:r>
              <w:rPr>
                <w:i/>
              </w:rPr>
              <w:t xml:space="preserve">The Psychologist Manager Journal, 14, </w:t>
            </w:r>
            <w:r>
              <w:t>247-264.</w:t>
            </w:r>
          </w:p>
        </w:tc>
        <w:tc>
          <w:tcPr>
            <w:tcW w:w="1098" w:type="dxa"/>
            <w:tcBorders>
              <w:bottom w:val="single" w:sz="4" w:space="0" w:color="000000" w:themeColor="text1"/>
            </w:tcBorders>
            <w:vAlign w:val="center"/>
          </w:tcPr>
          <w:p w:rsidR="00546F7A" w:rsidRDefault="00546F7A" w:rsidP="001977FF">
            <w:pPr>
              <w:contextualSpacing/>
              <w:jc w:val="center"/>
            </w:pPr>
            <w:r>
              <w:t>Project 4</w:t>
            </w:r>
          </w:p>
        </w:tc>
      </w:tr>
      <w:tr w:rsidR="00546F7A" w:rsidTr="00BE02C6">
        <w:tc>
          <w:tcPr>
            <w:tcW w:w="738" w:type="dxa"/>
            <w:tcBorders>
              <w:bottom w:val="single" w:sz="4" w:space="0" w:color="000000" w:themeColor="text1"/>
              <w:right w:val="nil"/>
            </w:tcBorders>
          </w:tcPr>
          <w:p w:rsidR="00546F7A" w:rsidRPr="00BE02C6" w:rsidRDefault="00546F7A" w:rsidP="00D11DFF">
            <w:pPr>
              <w:contextualSpacing/>
              <w:rPr>
                <w:b/>
              </w:rPr>
            </w:pPr>
            <w:r>
              <w:rPr>
                <w:b/>
              </w:rPr>
              <w:t>Dec</w:t>
            </w:r>
          </w:p>
        </w:tc>
        <w:tc>
          <w:tcPr>
            <w:tcW w:w="450" w:type="dxa"/>
            <w:tcBorders>
              <w:left w:val="nil"/>
              <w:bottom w:val="single" w:sz="4" w:space="0" w:color="000000" w:themeColor="text1"/>
            </w:tcBorders>
          </w:tcPr>
          <w:p w:rsidR="00546F7A" w:rsidRDefault="00546F7A" w:rsidP="00D11DFF">
            <w:pPr>
              <w:contextualSpacing/>
              <w:jc w:val="center"/>
            </w:pPr>
            <w:r>
              <w:t>7</w:t>
            </w:r>
          </w:p>
        </w:tc>
        <w:tc>
          <w:tcPr>
            <w:tcW w:w="7290" w:type="dxa"/>
            <w:tcBorders>
              <w:bottom w:val="single" w:sz="4" w:space="0" w:color="000000" w:themeColor="text1"/>
            </w:tcBorders>
          </w:tcPr>
          <w:p w:rsidR="00546F7A" w:rsidRPr="00855FC2" w:rsidRDefault="00546F7A" w:rsidP="00A47B77">
            <w:pPr>
              <w:contextualSpacing/>
              <w:rPr>
                <w:rFonts w:cstheme="minorHAnsi"/>
                <w:b/>
                <w:i/>
              </w:rPr>
            </w:pPr>
            <w:r w:rsidRPr="00855FC2">
              <w:rPr>
                <w:rFonts w:cstheme="minorHAnsi"/>
                <w:b/>
                <w:i/>
              </w:rPr>
              <w:t>Performance Management II: Performance Coaching and Evaluation</w:t>
            </w:r>
          </w:p>
          <w:p w:rsidR="00546F7A" w:rsidRPr="00855FC2" w:rsidRDefault="00546F7A" w:rsidP="00C209A9">
            <w:pPr>
              <w:ind w:left="522" w:hanging="522"/>
              <w:contextualSpacing/>
              <w:rPr>
                <w:rStyle w:val="style61"/>
                <w:rFonts w:asciiTheme="minorHAnsi" w:hAnsiTheme="minorHAnsi" w:cstheme="minorHAnsi"/>
                <w:sz w:val="22"/>
                <w:szCs w:val="22"/>
              </w:rPr>
            </w:pPr>
            <w:r w:rsidRPr="00855FC2">
              <w:rPr>
                <w:rStyle w:val="style61"/>
                <w:rFonts w:asciiTheme="minorHAnsi" w:hAnsiTheme="minorHAnsi" w:cstheme="minorHAnsi"/>
                <w:sz w:val="22"/>
                <w:szCs w:val="22"/>
              </w:rPr>
              <w:t xml:space="preserve">Goldsmith, M. (2009). Executive coaching: A real-world perspective from a real-life coaching practitioner. </w:t>
            </w:r>
            <w:r w:rsidRPr="00855FC2">
              <w:rPr>
                <w:rStyle w:val="style61"/>
                <w:rFonts w:asciiTheme="minorHAnsi" w:hAnsiTheme="minorHAnsi" w:cstheme="minorHAnsi"/>
                <w:i/>
                <w:sz w:val="22"/>
                <w:szCs w:val="22"/>
              </w:rPr>
              <w:t xml:space="preserve">International Coaching Psychology Review, 4, </w:t>
            </w:r>
            <w:r w:rsidRPr="00855FC2">
              <w:rPr>
                <w:rStyle w:val="style61"/>
                <w:rFonts w:asciiTheme="minorHAnsi" w:hAnsiTheme="minorHAnsi" w:cstheme="minorHAnsi"/>
                <w:sz w:val="22"/>
                <w:szCs w:val="22"/>
              </w:rPr>
              <w:t>22-24.</w:t>
            </w:r>
          </w:p>
          <w:p w:rsidR="00546F7A" w:rsidRPr="00855FC2" w:rsidRDefault="00546F7A" w:rsidP="004E2B1C">
            <w:pPr>
              <w:ind w:left="522" w:hanging="522"/>
              <w:contextualSpacing/>
              <w:rPr>
                <w:rStyle w:val="style61"/>
                <w:rFonts w:asciiTheme="minorHAnsi" w:hAnsiTheme="minorHAnsi" w:cstheme="minorHAnsi"/>
                <w:sz w:val="22"/>
                <w:szCs w:val="22"/>
              </w:rPr>
            </w:pPr>
            <w:r w:rsidRPr="00855FC2">
              <w:rPr>
                <w:rStyle w:val="style61"/>
                <w:rFonts w:asciiTheme="minorHAnsi" w:hAnsiTheme="minorHAnsi" w:cstheme="minorHAnsi"/>
                <w:sz w:val="22"/>
                <w:szCs w:val="22"/>
              </w:rPr>
              <w:t xml:space="preserve">Coutu, D., &amp; Kauffman, C. (2009). What can coaches do for you? </w:t>
            </w:r>
            <w:r>
              <w:rPr>
                <w:rStyle w:val="style61"/>
                <w:rFonts w:asciiTheme="minorHAnsi" w:hAnsiTheme="minorHAnsi" w:cstheme="minorHAnsi"/>
                <w:i/>
                <w:sz w:val="22"/>
                <w:szCs w:val="22"/>
              </w:rPr>
              <w:t xml:space="preserve">Harvard </w:t>
            </w:r>
            <w:r w:rsidRPr="00855FC2">
              <w:rPr>
                <w:rStyle w:val="style61"/>
                <w:rFonts w:asciiTheme="minorHAnsi" w:hAnsiTheme="minorHAnsi" w:cstheme="minorHAnsi"/>
                <w:i/>
                <w:sz w:val="22"/>
                <w:szCs w:val="22"/>
              </w:rPr>
              <w:t>Business Review, 87</w:t>
            </w:r>
            <w:r w:rsidRPr="00855FC2">
              <w:rPr>
                <w:rStyle w:val="style61"/>
                <w:rFonts w:asciiTheme="minorHAnsi" w:hAnsiTheme="minorHAnsi" w:cstheme="minorHAnsi"/>
                <w:sz w:val="22"/>
                <w:szCs w:val="22"/>
              </w:rPr>
              <w:t>(1), 91-97.</w:t>
            </w:r>
          </w:p>
          <w:p w:rsidR="00546F7A" w:rsidRPr="00855FC2" w:rsidRDefault="00546F7A" w:rsidP="00C209A9">
            <w:pPr>
              <w:ind w:left="522" w:hanging="522"/>
              <w:contextualSpacing/>
              <w:rPr>
                <w:rFonts w:cstheme="minorHAnsi"/>
                <w:b/>
                <w:i/>
              </w:rPr>
            </w:pPr>
            <w:r>
              <w:rPr>
                <w:rFonts w:cstheme="minorHAnsi"/>
              </w:rPr>
              <w:t xml:space="preserve">Yun, G.J., Donahue, L.M., Dudley, N.M., &amp; McFarland, L.A. (2005). Rater personality, rating format, and social context: Implications for performance appraisal ratings. </w:t>
            </w:r>
            <w:r>
              <w:rPr>
                <w:rFonts w:cstheme="minorHAnsi"/>
                <w:i/>
              </w:rPr>
              <w:t xml:space="preserve">International Journal of Selection and Assessment, 13, </w:t>
            </w:r>
            <w:r>
              <w:rPr>
                <w:rFonts w:cstheme="minorHAnsi"/>
              </w:rPr>
              <w:t>97-107.</w:t>
            </w:r>
          </w:p>
        </w:tc>
        <w:tc>
          <w:tcPr>
            <w:tcW w:w="1098" w:type="dxa"/>
            <w:tcBorders>
              <w:bottom w:val="single" w:sz="4" w:space="0" w:color="000000" w:themeColor="text1"/>
            </w:tcBorders>
            <w:vAlign w:val="center"/>
          </w:tcPr>
          <w:p w:rsidR="00546F7A" w:rsidRDefault="00546F7A" w:rsidP="001977FF">
            <w:pPr>
              <w:contextualSpacing/>
              <w:jc w:val="center"/>
            </w:pPr>
          </w:p>
        </w:tc>
      </w:tr>
      <w:tr w:rsidR="00546F7A" w:rsidTr="00BE02C6">
        <w:tc>
          <w:tcPr>
            <w:tcW w:w="738" w:type="dxa"/>
            <w:tcBorders>
              <w:right w:val="nil"/>
            </w:tcBorders>
          </w:tcPr>
          <w:p w:rsidR="00546F7A" w:rsidRDefault="00546F7A" w:rsidP="00D11DFF">
            <w:pPr>
              <w:contextualSpacing/>
            </w:pPr>
          </w:p>
        </w:tc>
        <w:tc>
          <w:tcPr>
            <w:tcW w:w="450" w:type="dxa"/>
            <w:tcBorders>
              <w:left w:val="nil"/>
            </w:tcBorders>
          </w:tcPr>
          <w:p w:rsidR="00546F7A" w:rsidRDefault="00546F7A" w:rsidP="00D11DFF">
            <w:pPr>
              <w:contextualSpacing/>
              <w:jc w:val="center"/>
            </w:pPr>
            <w:r>
              <w:t>??</w:t>
            </w:r>
          </w:p>
        </w:tc>
        <w:tc>
          <w:tcPr>
            <w:tcW w:w="8388" w:type="dxa"/>
            <w:gridSpan w:val="2"/>
            <w:shd w:val="clear" w:color="auto" w:fill="BFBFBF" w:themeFill="background1" w:themeFillShade="BF"/>
          </w:tcPr>
          <w:p w:rsidR="00546F7A" w:rsidRDefault="00546F7A" w:rsidP="0000728C">
            <w:pPr>
              <w:contextualSpacing/>
              <w:jc w:val="center"/>
              <w:rPr>
                <w:b/>
              </w:rPr>
            </w:pPr>
            <w:r w:rsidRPr="00CC52A6">
              <w:rPr>
                <w:b/>
              </w:rPr>
              <w:t xml:space="preserve">Exam </w:t>
            </w:r>
            <w:r w:rsidRPr="0000728C">
              <w:rPr>
                <w:b/>
              </w:rPr>
              <w:t xml:space="preserve">2 </w:t>
            </w:r>
          </w:p>
          <w:p w:rsidR="00546F7A" w:rsidRDefault="00546F7A" w:rsidP="0000728C">
            <w:pPr>
              <w:contextualSpacing/>
              <w:jc w:val="center"/>
            </w:pPr>
            <w:r w:rsidRPr="0000728C">
              <w:rPr>
                <w:b/>
              </w:rPr>
              <w:t>(to be held on regularly-scheduled exam day)</w:t>
            </w:r>
          </w:p>
        </w:tc>
      </w:tr>
    </w:tbl>
    <w:p w:rsidR="009501F4" w:rsidRPr="00BF6CB5" w:rsidRDefault="009501F4" w:rsidP="00D11DFF">
      <w:pPr>
        <w:spacing w:line="240" w:lineRule="auto"/>
        <w:contextualSpacing/>
        <w:rPr>
          <w:sz w:val="24"/>
        </w:rPr>
      </w:pPr>
    </w:p>
    <w:sectPr w:rsidR="009501F4" w:rsidRPr="00BF6CB5" w:rsidSect="001A72C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B3" w:rsidRDefault="003A4BB3" w:rsidP="00184DAD">
      <w:pPr>
        <w:spacing w:after="0" w:line="240" w:lineRule="auto"/>
      </w:pPr>
      <w:r>
        <w:separator/>
      </w:r>
    </w:p>
  </w:endnote>
  <w:endnote w:type="continuationSeparator" w:id="0">
    <w:p w:rsidR="003A4BB3" w:rsidRDefault="003A4BB3" w:rsidP="0018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B3" w:rsidRDefault="007F15B3">
    <w:pPr>
      <w:pStyle w:val="Footer"/>
    </w:pPr>
    <w:r>
      <w:rPr>
        <w:noProof/>
      </w:rPr>
      <w:drawing>
        <wp:inline distT="0" distB="0" distL="0" distR="0">
          <wp:extent cx="1716656" cy="469912"/>
          <wp:effectExtent l="19050" t="0" r="0" b="0"/>
          <wp:docPr id="7" name="Picture 7" descr="tcnjlogo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cnjlogo_email"/>
                  <pic:cNvPicPr>
                    <a:picLocks noChangeAspect="1" noChangeArrowheads="1"/>
                  </pic:cNvPicPr>
                </pic:nvPicPr>
                <pic:blipFill>
                  <a:blip r:embed="rId1"/>
                  <a:srcRect/>
                  <a:stretch>
                    <a:fillRect/>
                  </a:stretch>
                </pic:blipFill>
                <pic:spPr bwMode="auto">
                  <a:xfrm>
                    <a:off x="0" y="0"/>
                    <a:ext cx="1717878" cy="470246"/>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B3" w:rsidRDefault="003A4BB3" w:rsidP="00184DAD">
      <w:pPr>
        <w:spacing w:after="0" w:line="240" w:lineRule="auto"/>
      </w:pPr>
      <w:r>
        <w:separator/>
      </w:r>
    </w:p>
  </w:footnote>
  <w:footnote w:type="continuationSeparator" w:id="0">
    <w:p w:rsidR="003A4BB3" w:rsidRDefault="003A4BB3" w:rsidP="00184D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010954"/>
      <w:docPartObj>
        <w:docPartGallery w:val="Page Numbers (Top of Page)"/>
        <w:docPartUnique/>
      </w:docPartObj>
    </w:sdtPr>
    <w:sdtEndPr/>
    <w:sdtContent>
      <w:p w:rsidR="007F15B3" w:rsidRDefault="002A168A">
        <w:pPr>
          <w:pStyle w:val="Header"/>
          <w:jc w:val="right"/>
        </w:pPr>
        <w:r>
          <w:t>PSY364 / Fall 2012</w:t>
        </w:r>
        <w:r w:rsidR="007724B7">
          <w:t xml:space="preserve"> </w:t>
        </w:r>
        <w:r w:rsidR="007724B7">
          <w:rPr>
            <w:b/>
          </w:rPr>
          <w:t>REV. 9/13</w:t>
        </w:r>
        <w:r w:rsidR="002372F4">
          <w:t xml:space="preserve"> / Page </w:t>
        </w:r>
        <w:r w:rsidR="00107411">
          <w:fldChar w:fldCharType="begin"/>
        </w:r>
        <w:r w:rsidR="00107411">
          <w:instrText xml:space="preserve"> PAGE   \* MERGEFORMAT </w:instrText>
        </w:r>
        <w:r w:rsidR="00107411">
          <w:fldChar w:fldCharType="separate"/>
        </w:r>
        <w:r w:rsidR="00546F7A">
          <w:rPr>
            <w:noProof/>
          </w:rPr>
          <w:t>6</w:t>
        </w:r>
        <w:r w:rsidR="00107411">
          <w:rPr>
            <w:noProof/>
          </w:rPr>
          <w:fldChar w:fldCharType="end"/>
        </w:r>
      </w:p>
    </w:sdtContent>
  </w:sdt>
  <w:p w:rsidR="007F15B3" w:rsidRDefault="007F1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C1F54"/>
    <w:multiLevelType w:val="hybridMultilevel"/>
    <w:tmpl w:val="AEAA4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1446DC"/>
    <w:multiLevelType w:val="hybridMultilevel"/>
    <w:tmpl w:val="068CAA9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8D5AF1"/>
    <w:multiLevelType w:val="hybridMultilevel"/>
    <w:tmpl w:val="5CC66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C42270"/>
    <w:multiLevelType w:val="hybridMultilevel"/>
    <w:tmpl w:val="9C16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34D"/>
    <w:rsid w:val="0000728C"/>
    <w:rsid w:val="000165B4"/>
    <w:rsid w:val="00017734"/>
    <w:rsid w:val="000304E6"/>
    <w:rsid w:val="0003080F"/>
    <w:rsid w:val="00042F45"/>
    <w:rsid w:val="00054E62"/>
    <w:rsid w:val="000A166D"/>
    <w:rsid w:val="000A5D6F"/>
    <w:rsid w:val="000C3094"/>
    <w:rsid w:val="000C3CF1"/>
    <w:rsid w:val="000E0625"/>
    <w:rsid w:val="000F03F0"/>
    <w:rsid w:val="000F389E"/>
    <w:rsid w:val="000F56B3"/>
    <w:rsid w:val="000F6C07"/>
    <w:rsid w:val="00101746"/>
    <w:rsid w:val="0010695C"/>
    <w:rsid w:val="00107411"/>
    <w:rsid w:val="00110F1E"/>
    <w:rsid w:val="00116D6C"/>
    <w:rsid w:val="00117AF5"/>
    <w:rsid w:val="00130530"/>
    <w:rsid w:val="00132964"/>
    <w:rsid w:val="001476D4"/>
    <w:rsid w:val="00152522"/>
    <w:rsid w:val="00157F28"/>
    <w:rsid w:val="00177A92"/>
    <w:rsid w:val="00184DAD"/>
    <w:rsid w:val="001977FF"/>
    <w:rsid w:val="001A2789"/>
    <w:rsid w:val="001A72C4"/>
    <w:rsid w:val="001B0B04"/>
    <w:rsid w:val="001C558F"/>
    <w:rsid w:val="001C6A8C"/>
    <w:rsid w:val="001D00D9"/>
    <w:rsid w:val="001D5F9D"/>
    <w:rsid w:val="001E54B7"/>
    <w:rsid w:val="001F1D9B"/>
    <w:rsid w:val="00205EC5"/>
    <w:rsid w:val="0021710E"/>
    <w:rsid w:val="002233D9"/>
    <w:rsid w:val="00236648"/>
    <w:rsid w:val="002372F4"/>
    <w:rsid w:val="00247CB8"/>
    <w:rsid w:val="002563BF"/>
    <w:rsid w:val="00265B85"/>
    <w:rsid w:val="00286E68"/>
    <w:rsid w:val="002922B7"/>
    <w:rsid w:val="002A0534"/>
    <w:rsid w:val="002A168A"/>
    <w:rsid w:val="002C5A0F"/>
    <w:rsid w:val="002E11CE"/>
    <w:rsid w:val="00311A5D"/>
    <w:rsid w:val="00317365"/>
    <w:rsid w:val="0032577C"/>
    <w:rsid w:val="0032599B"/>
    <w:rsid w:val="003365FB"/>
    <w:rsid w:val="00337E76"/>
    <w:rsid w:val="003554F8"/>
    <w:rsid w:val="00356666"/>
    <w:rsid w:val="00371403"/>
    <w:rsid w:val="00372D8F"/>
    <w:rsid w:val="00374B90"/>
    <w:rsid w:val="003858D4"/>
    <w:rsid w:val="003A4BB3"/>
    <w:rsid w:val="003B100A"/>
    <w:rsid w:val="003B3814"/>
    <w:rsid w:val="003B5C88"/>
    <w:rsid w:val="003D5A3C"/>
    <w:rsid w:val="003D7560"/>
    <w:rsid w:val="003D7629"/>
    <w:rsid w:val="003E521D"/>
    <w:rsid w:val="003F1C67"/>
    <w:rsid w:val="003F246A"/>
    <w:rsid w:val="003F4ABB"/>
    <w:rsid w:val="00410BD9"/>
    <w:rsid w:val="00427B79"/>
    <w:rsid w:val="00441AB4"/>
    <w:rsid w:val="004671CD"/>
    <w:rsid w:val="00483EED"/>
    <w:rsid w:val="004930FF"/>
    <w:rsid w:val="00496139"/>
    <w:rsid w:val="004A5F91"/>
    <w:rsid w:val="004A6D47"/>
    <w:rsid w:val="004A6F0D"/>
    <w:rsid w:val="004C6AB4"/>
    <w:rsid w:val="004E2B1C"/>
    <w:rsid w:val="005120C6"/>
    <w:rsid w:val="00520FD7"/>
    <w:rsid w:val="005357D1"/>
    <w:rsid w:val="00546F7A"/>
    <w:rsid w:val="00550F0D"/>
    <w:rsid w:val="00562A23"/>
    <w:rsid w:val="005C3949"/>
    <w:rsid w:val="005D6B64"/>
    <w:rsid w:val="005F3A9D"/>
    <w:rsid w:val="005F731C"/>
    <w:rsid w:val="006022B9"/>
    <w:rsid w:val="00606B45"/>
    <w:rsid w:val="0061137E"/>
    <w:rsid w:val="00615463"/>
    <w:rsid w:val="00617492"/>
    <w:rsid w:val="00617B49"/>
    <w:rsid w:val="00623945"/>
    <w:rsid w:val="00650281"/>
    <w:rsid w:val="006826E2"/>
    <w:rsid w:val="006A6C85"/>
    <w:rsid w:val="006B74DC"/>
    <w:rsid w:val="006D4871"/>
    <w:rsid w:val="006D4AA2"/>
    <w:rsid w:val="006E79EC"/>
    <w:rsid w:val="00705E62"/>
    <w:rsid w:val="0071469A"/>
    <w:rsid w:val="00726CC0"/>
    <w:rsid w:val="00732CEA"/>
    <w:rsid w:val="00734E76"/>
    <w:rsid w:val="00735EA0"/>
    <w:rsid w:val="007724B7"/>
    <w:rsid w:val="00775DFB"/>
    <w:rsid w:val="0079194A"/>
    <w:rsid w:val="007A06C8"/>
    <w:rsid w:val="007A202A"/>
    <w:rsid w:val="007B7441"/>
    <w:rsid w:val="007D7F4C"/>
    <w:rsid w:val="007E2DB5"/>
    <w:rsid w:val="007F134D"/>
    <w:rsid w:val="007F15B3"/>
    <w:rsid w:val="0080010A"/>
    <w:rsid w:val="00800F27"/>
    <w:rsid w:val="00804E4B"/>
    <w:rsid w:val="00805272"/>
    <w:rsid w:val="00807EB0"/>
    <w:rsid w:val="00855265"/>
    <w:rsid w:val="00855FC2"/>
    <w:rsid w:val="00863308"/>
    <w:rsid w:val="008858C6"/>
    <w:rsid w:val="00887B4F"/>
    <w:rsid w:val="008C7084"/>
    <w:rsid w:val="008E18DE"/>
    <w:rsid w:val="008E74E8"/>
    <w:rsid w:val="008F62E1"/>
    <w:rsid w:val="00946AD8"/>
    <w:rsid w:val="009501F4"/>
    <w:rsid w:val="009507A4"/>
    <w:rsid w:val="00953DB8"/>
    <w:rsid w:val="00970E83"/>
    <w:rsid w:val="00975997"/>
    <w:rsid w:val="00976DBA"/>
    <w:rsid w:val="009B16DD"/>
    <w:rsid w:val="009B4EC2"/>
    <w:rsid w:val="009D142C"/>
    <w:rsid w:val="009F6634"/>
    <w:rsid w:val="00A27537"/>
    <w:rsid w:val="00A47B77"/>
    <w:rsid w:val="00AF4023"/>
    <w:rsid w:val="00B161C6"/>
    <w:rsid w:val="00B23ED7"/>
    <w:rsid w:val="00B52309"/>
    <w:rsid w:val="00B6437E"/>
    <w:rsid w:val="00B64450"/>
    <w:rsid w:val="00B6679A"/>
    <w:rsid w:val="00B67A1D"/>
    <w:rsid w:val="00B719CC"/>
    <w:rsid w:val="00B762C5"/>
    <w:rsid w:val="00B922FE"/>
    <w:rsid w:val="00B9540E"/>
    <w:rsid w:val="00BA4005"/>
    <w:rsid w:val="00BA491D"/>
    <w:rsid w:val="00BB6833"/>
    <w:rsid w:val="00BD4C24"/>
    <w:rsid w:val="00BE02C6"/>
    <w:rsid w:val="00BE3572"/>
    <w:rsid w:val="00BE4639"/>
    <w:rsid w:val="00BF4CC6"/>
    <w:rsid w:val="00BF6CB5"/>
    <w:rsid w:val="00C209A9"/>
    <w:rsid w:val="00C302E5"/>
    <w:rsid w:val="00C32ABA"/>
    <w:rsid w:val="00C546DE"/>
    <w:rsid w:val="00C66FB3"/>
    <w:rsid w:val="00C74C27"/>
    <w:rsid w:val="00C7536A"/>
    <w:rsid w:val="00C86A95"/>
    <w:rsid w:val="00C86F6B"/>
    <w:rsid w:val="00C91542"/>
    <w:rsid w:val="00C9781B"/>
    <w:rsid w:val="00CA4066"/>
    <w:rsid w:val="00CC51A5"/>
    <w:rsid w:val="00CC52A6"/>
    <w:rsid w:val="00CC5E4C"/>
    <w:rsid w:val="00CC7FB8"/>
    <w:rsid w:val="00CF48DE"/>
    <w:rsid w:val="00D11DFF"/>
    <w:rsid w:val="00D14BF7"/>
    <w:rsid w:val="00D201A7"/>
    <w:rsid w:val="00D2025F"/>
    <w:rsid w:val="00D21625"/>
    <w:rsid w:val="00D26112"/>
    <w:rsid w:val="00D26773"/>
    <w:rsid w:val="00D27E75"/>
    <w:rsid w:val="00D40102"/>
    <w:rsid w:val="00D404DE"/>
    <w:rsid w:val="00D65E5F"/>
    <w:rsid w:val="00DA4A76"/>
    <w:rsid w:val="00DB0894"/>
    <w:rsid w:val="00DB10CE"/>
    <w:rsid w:val="00DC3DEA"/>
    <w:rsid w:val="00DF076D"/>
    <w:rsid w:val="00DF6453"/>
    <w:rsid w:val="00E126AE"/>
    <w:rsid w:val="00E20A11"/>
    <w:rsid w:val="00E31904"/>
    <w:rsid w:val="00E331ED"/>
    <w:rsid w:val="00E42E9E"/>
    <w:rsid w:val="00E63174"/>
    <w:rsid w:val="00E64D8C"/>
    <w:rsid w:val="00E64E95"/>
    <w:rsid w:val="00E677D3"/>
    <w:rsid w:val="00E721ED"/>
    <w:rsid w:val="00E77D32"/>
    <w:rsid w:val="00E863C2"/>
    <w:rsid w:val="00EA285D"/>
    <w:rsid w:val="00EA3931"/>
    <w:rsid w:val="00EC1B0B"/>
    <w:rsid w:val="00ED5597"/>
    <w:rsid w:val="00F0062B"/>
    <w:rsid w:val="00F00764"/>
    <w:rsid w:val="00F11FD1"/>
    <w:rsid w:val="00F158AA"/>
    <w:rsid w:val="00F3447E"/>
    <w:rsid w:val="00F44715"/>
    <w:rsid w:val="00F631B3"/>
    <w:rsid w:val="00F6747D"/>
    <w:rsid w:val="00F73568"/>
    <w:rsid w:val="00F80652"/>
    <w:rsid w:val="00F85EC2"/>
    <w:rsid w:val="00F8643D"/>
    <w:rsid w:val="00FE4B0D"/>
    <w:rsid w:val="00FE6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11DFF"/>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D11DFF"/>
    <w:pPr>
      <w:keepNext/>
      <w:spacing w:after="0" w:line="240" w:lineRule="auto"/>
      <w:jc w:val="center"/>
      <w:outlineLvl w:val="1"/>
    </w:pPr>
    <w:rPr>
      <w:rFonts w:ascii="Times New Roman" w:eastAsia="Times New Roman" w:hAnsi="Times New Roman"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3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11DF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D11DFF"/>
    <w:rPr>
      <w:rFonts w:ascii="Times New Roman" w:eastAsia="Times New Roman" w:hAnsi="Times New Roman" w:cs="Times New Roman"/>
      <w:sz w:val="32"/>
      <w:szCs w:val="20"/>
    </w:rPr>
  </w:style>
  <w:style w:type="paragraph" w:styleId="BodyText">
    <w:name w:val="Body Text"/>
    <w:basedOn w:val="Normal"/>
    <w:link w:val="BodyTextChar"/>
    <w:rsid w:val="00D11DFF"/>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11DFF"/>
    <w:rPr>
      <w:rFonts w:ascii="Times New Roman" w:eastAsia="Times New Roman" w:hAnsi="Times New Roman" w:cs="Times New Roman"/>
      <w:sz w:val="24"/>
      <w:szCs w:val="20"/>
    </w:rPr>
  </w:style>
  <w:style w:type="paragraph" w:styleId="PlainText">
    <w:name w:val="Plain Text"/>
    <w:basedOn w:val="Normal"/>
    <w:link w:val="PlainTextChar"/>
    <w:rsid w:val="00D11DFF"/>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11DFF"/>
    <w:rPr>
      <w:rFonts w:ascii="Courier New" w:eastAsia="Times New Roman" w:hAnsi="Courier New" w:cs="Courier New"/>
      <w:sz w:val="20"/>
      <w:szCs w:val="20"/>
    </w:rPr>
  </w:style>
  <w:style w:type="paragraph" w:customStyle="1" w:styleId="Default">
    <w:name w:val="Default"/>
    <w:rsid w:val="00BE463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rsid w:val="00184DAD"/>
    <w:rPr>
      <w:color w:val="0000FF"/>
      <w:u w:val="single"/>
    </w:rPr>
  </w:style>
  <w:style w:type="character" w:styleId="Strong">
    <w:name w:val="Strong"/>
    <w:basedOn w:val="DefaultParagraphFont"/>
    <w:uiPriority w:val="22"/>
    <w:qFormat/>
    <w:rsid w:val="00184DAD"/>
    <w:rPr>
      <w:b/>
      <w:bCs/>
    </w:rPr>
  </w:style>
  <w:style w:type="paragraph" w:styleId="Header">
    <w:name w:val="header"/>
    <w:basedOn w:val="Normal"/>
    <w:link w:val="HeaderChar"/>
    <w:uiPriority w:val="99"/>
    <w:unhideWhenUsed/>
    <w:rsid w:val="0018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AD"/>
  </w:style>
  <w:style w:type="paragraph" w:styleId="Footer">
    <w:name w:val="footer"/>
    <w:basedOn w:val="Normal"/>
    <w:link w:val="FooterChar"/>
    <w:uiPriority w:val="99"/>
    <w:unhideWhenUsed/>
    <w:rsid w:val="0018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AD"/>
  </w:style>
  <w:style w:type="paragraph" w:styleId="BalloonText">
    <w:name w:val="Balloon Text"/>
    <w:basedOn w:val="Normal"/>
    <w:link w:val="BalloonTextChar"/>
    <w:uiPriority w:val="99"/>
    <w:semiHidden/>
    <w:unhideWhenUsed/>
    <w:rsid w:val="00184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DAD"/>
    <w:rPr>
      <w:rFonts w:ascii="Tahoma" w:hAnsi="Tahoma" w:cs="Tahoma"/>
      <w:sz w:val="16"/>
      <w:szCs w:val="16"/>
    </w:rPr>
  </w:style>
  <w:style w:type="paragraph" w:styleId="ListParagraph">
    <w:name w:val="List Paragraph"/>
    <w:basedOn w:val="Normal"/>
    <w:uiPriority w:val="34"/>
    <w:qFormat/>
    <w:rsid w:val="006A6C85"/>
    <w:pPr>
      <w:ind w:left="720"/>
      <w:contextualSpacing/>
    </w:pPr>
  </w:style>
  <w:style w:type="character" w:customStyle="1" w:styleId="style61">
    <w:name w:val="style61"/>
    <w:basedOn w:val="DefaultParagraphFont"/>
    <w:rsid w:val="00855FC2"/>
    <w:rPr>
      <w:rFonts w:ascii="Verdana" w:hAnsi="Verdana"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11DFF"/>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D11DFF"/>
    <w:pPr>
      <w:keepNext/>
      <w:spacing w:after="0" w:line="240" w:lineRule="auto"/>
      <w:jc w:val="center"/>
      <w:outlineLvl w:val="1"/>
    </w:pPr>
    <w:rPr>
      <w:rFonts w:ascii="Times New Roman" w:eastAsia="Times New Roman" w:hAnsi="Times New Roman"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3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11DF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D11DFF"/>
    <w:rPr>
      <w:rFonts w:ascii="Times New Roman" w:eastAsia="Times New Roman" w:hAnsi="Times New Roman" w:cs="Times New Roman"/>
      <w:sz w:val="32"/>
      <w:szCs w:val="20"/>
    </w:rPr>
  </w:style>
  <w:style w:type="paragraph" w:styleId="BodyText">
    <w:name w:val="Body Text"/>
    <w:basedOn w:val="Normal"/>
    <w:link w:val="BodyTextChar"/>
    <w:rsid w:val="00D11DFF"/>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11DFF"/>
    <w:rPr>
      <w:rFonts w:ascii="Times New Roman" w:eastAsia="Times New Roman" w:hAnsi="Times New Roman" w:cs="Times New Roman"/>
      <w:sz w:val="24"/>
      <w:szCs w:val="20"/>
    </w:rPr>
  </w:style>
  <w:style w:type="paragraph" w:styleId="PlainText">
    <w:name w:val="Plain Text"/>
    <w:basedOn w:val="Normal"/>
    <w:link w:val="PlainTextChar"/>
    <w:rsid w:val="00D11DFF"/>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11DFF"/>
    <w:rPr>
      <w:rFonts w:ascii="Courier New" w:eastAsia="Times New Roman" w:hAnsi="Courier New" w:cs="Courier New"/>
      <w:sz w:val="20"/>
      <w:szCs w:val="20"/>
    </w:rPr>
  </w:style>
  <w:style w:type="paragraph" w:customStyle="1" w:styleId="Default">
    <w:name w:val="Default"/>
    <w:rsid w:val="00BE463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rsid w:val="00184DAD"/>
    <w:rPr>
      <w:color w:val="0000FF"/>
      <w:u w:val="single"/>
    </w:rPr>
  </w:style>
  <w:style w:type="character" w:styleId="Strong">
    <w:name w:val="Strong"/>
    <w:basedOn w:val="DefaultParagraphFont"/>
    <w:uiPriority w:val="22"/>
    <w:qFormat/>
    <w:rsid w:val="00184DAD"/>
    <w:rPr>
      <w:b/>
      <w:bCs/>
    </w:rPr>
  </w:style>
  <w:style w:type="paragraph" w:styleId="Header">
    <w:name w:val="header"/>
    <w:basedOn w:val="Normal"/>
    <w:link w:val="HeaderChar"/>
    <w:uiPriority w:val="99"/>
    <w:unhideWhenUsed/>
    <w:rsid w:val="0018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AD"/>
  </w:style>
  <w:style w:type="paragraph" w:styleId="Footer">
    <w:name w:val="footer"/>
    <w:basedOn w:val="Normal"/>
    <w:link w:val="FooterChar"/>
    <w:uiPriority w:val="99"/>
    <w:unhideWhenUsed/>
    <w:rsid w:val="0018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AD"/>
  </w:style>
  <w:style w:type="paragraph" w:styleId="BalloonText">
    <w:name w:val="Balloon Text"/>
    <w:basedOn w:val="Normal"/>
    <w:link w:val="BalloonTextChar"/>
    <w:uiPriority w:val="99"/>
    <w:semiHidden/>
    <w:unhideWhenUsed/>
    <w:rsid w:val="00184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DAD"/>
    <w:rPr>
      <w:rFonts w:ascii="Tahoma" w:hAnsi="Tahoma" w:cs="Tahoma"/>
      <w:sz w:val="16"/>
      <w:szCs w:val="16"/>
    </w:rPr>
  </w:style>
  <w:style w:type="paragraph" w:styleId="ListParagraph">
    <w:name w:val="List Paragraph"/>
    <w:basedOn w:val="Normal"/>
    <w:uiPriority w:val="34"/>
    <w:qFormat/>
    <w:rsid w:val="006A6C85"/>
    <w:pPr>
      <w:ind w:left="720"/>
      <w:contextualSpacing/>
    </w:pPr>
  </w:style>
  <w:style w:type="character" w:customStyle="1" w:styleId="style61">
    <w:name w:val="style61"/>
    <w:basedOn w:val="DefaultParagraphFont"/>
    <w:rsid w:val="00855FC2"/>
    <w:rPr>
      <w:rFonts w:ascii="Verdana" w:hAnsi="Verdana"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ifferingabilities.pages.tcnj.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duct.pages.tcnj.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cnj.edu/~academic/policy/integrity.html" TargetMode="External"/><Relationship Id="rId4" Type="http://schemas.microsoft.com/office/2007/relationships/stylesWithEffects" Target="stylesWithEffects.xml"/><Relationship Id="rId9" Type="http://schemas.openxmlformats.org/officeDocument/2006/relationships/hyperlink" Target="http://www.tcnj.edu/~recreg/policies/attendance.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D7045-AB5E-49E9-9183-A7901000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1142</TotalTime>
  <Pages>6</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The College of New Jersey</Company>
  <LinksUpToDate>false</LinksUpToDate>
  <CharactersWithSpaces>15508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Dahling</dc:creator>
  <cp:lastModifiedBy>Jason Dahling</cp:lastModifiedBy>
  <cp:revision>39</cp:revision>
  <cp:lastPrinted>2012-09-13T15:49:00Z</cp:lastPrinted>
  <dcterms:created xsi:type="dcterms:W3CDTF">2012-05-08T02:55:00Z</dcterms:created>
  <dcterms:modified xsi:type="dcterms:W3CDTF">2012-09-13T15:52:00Z</dcterms:modified>
</cp:coreProperties>
</file>